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EE6" w:rsidRDefault="00534EE6" w:rsidP="00534EE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534EE6" w:rsidRDefault="00534EE6" w:rsidP="00534EE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534EE6" w:rsidRPr="00624F04" w:rsidRDefault="00534EE6" w:rsidP="00534EE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>: M.P. Bertino</w:t>
      </w:r>
    </w:p>
    <w:p w:rsidR="00CF3BAA" w:rsidRDefault="00CF3BAA" w:rsidP="00BC321C">
      <w:pPr>
        <w:spacing w:line="0" w:lineRule="atLeast"/>
        <w:jc w:val="both"/>
        <w:rPr>
          <w:rFonts w:ascii="Arial" w:hAnsi="Arial" w:cs="Arial"/>
          <w:sz w:val="24"/>
          <w:szCs w:val="24"/>
          <w:u w:val="single"/>
        </w:rPr>
      </w:pPr>
    </w:p>
    <w:p w:rsidR="00BC321C" w:rsidRPr="000B2FB1" w:rsidRDefault="00BC321C" w:rsidP="00BC321C">
      <w:pPr>
        <w:spacing w:line="0" w:lineRule="atLeast"/>
        <w:jc w:val="both"/>
        <w:rPr>
          <w:rFonts w:ascii="Arial" w:hAnsi="Arial" w:cs="Arial"/>
          <w:sz w:val="24"/>
          <w:szCs w:val="24"/>
          <w:u w:val="single"/>
        </w:rPr>
      </w:pPr>
      <w:r w:rsidRPr="000B2FB1">
        <w:rPr>
          <w:rFonts w:ascii="Arial" w:hAnsi="Arial" w:cs="Arial"/>
          <w:sz w:val="24"/>
          <w:szCs w:val="24"/>
          <w:u w:val="single"/>
        </w:rPr>
        <w:t>GUIA DE LECTURA</w:t>
      </w:r>
    </w:p>
    <w:p w:rsidR="00BC321C" w:rsidRDefault="00BC321C" w:rsidP="00BC321C">
      <w:pPr>
        <w:spacing w:line="0" w:lineRule="atLeast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Tercera Parte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Estado, política y sociedad en la Argentina</w:t>
      </w:r>
    </w:p>
    <w:p w:rsidR="000E1071" w:rsidRDefault="00BC321C" w:rsidP="00BC32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Malamud, A., “</w:t>
      </w:r>
      <w:r w:rsidRPr="00BC321C">
        <w:rPr>
          <w:rFonts w:ascii="Arial" w:hAnsi="Arial" w:cs="Arial"/>
          <w:i/>
          <w:sz w:val="24"/>
          <w:szCs w:val="24"/>
        </w:rPr>
        <w:t>Ni mucho gobierno de la opinión ni tanto regreso de la voluntad: Bipartidismo recargado</w:t>
      </w:r>
      <w:r>
        <w:rPr>
          <w:rFonts w:ascii="Arial" w:hAnsi="Arial" w:cs="Arial"/>
          <w:sz w:val="24"/>
          <w:szCs w:val="24"/>
        </w:rPr>
        <w:t xml:space="preserve">”, en </w:t>
      </w:r>
      <w:r w:rsidRPr="00C578D5">
        <w:rPr>
          <w:rFonts w:ascii="Arial" w:hAnsi="Arial" w:cs="Arial"/>
          <w:b/>
          <w:sz w:val="24"/>
          <w:szCs w:val="24"/>
        </w:rPr>
        <w:t>Andrés Malamud</w:t>
      </w:r>
      <w:r>
        <w:rPr>
          <w:rFonts w:ascii="Arial" w:hAnsi="Arial" w:cs="Arial"/>
          <w:sz w:val="24"/>
          <w:szCs w:val="24"/>
        </w:rPr>
        <w:t xml:space="preserve"> y </w:t>
      </w:r>
      <w:r w:rsidRPr="00C578D5">
        <w:rPr>
          <w:rFonts w:ascii="Arial" w:hAnsi="Arial" w:cs="Arial"/>
          <w:b/>
          <w:sz w:val="24"/>
          <w:szCs w:val="24"/>
        </w:rPr>
        <w:t>Miguel De Luca</w:t>
      </w:r>
      <w:r w:rsidR="00CF3BAA">
        <w:rPr>
          <w:rFonts w:ascii="Arial" w:hAnsi="Arial" w:cs="Arial"/>
          <w:sz w:val="24"/>
          <w:szCs w:val="24"/>
        </w:rPr>
        <w:t xml:space="preserve"> (coord</w:t>
      </w:r>
      <w:r>
        <w:rPr>
          <w:rFonts w:ascii="Arial" w:hAnsi="Arial" w:cs="Arial"/>
          <w:sz w:val="24"/>
          <w:szCs w:val="24"/>
        </w:rPr>
        <w:t xml:space="preserve">.), </w:t>
      </w:r>
      <w:r w:rsidRPr="00C578D5">
        <w:rPr>
          <w:rFonts w:ascii="Arial" w:hAnsi="Arial" w:cs="Arial"/>
          <w:sz w:val="24"/>
          <w:szCs w:val="24"/>
          <w:u w:val="single"/>
        </w:rPr>
        <w:t>La política en tiempos de los Kirchner</w:t>
      </w:r>
      <w:r>
        <w:rPr>
          <w:rFonts w:ascii="Arial" w:hAnsi="Arial" w:cs="Arial"/>
          <w:sz w:val="24"/>
          <w:szCs w:val="24"/>
        </w:rPr>
        <w:t>, Buenos Aires, Eudeba, (págs.: 105 – 114)</w:t>
      </w:r>
    </w:p>
    <w:p w:rsidR="00BC321C" w:rsidRDefault="00A8381B" w:rsidP="008851F3">
      <w:pPr>
        <w:pStyle w:val="Prrafode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Describa, según el autor, las características del radicalismo para explicar la  supervivencia en el sistema político argentino.</w:t>
      </w:r>
    </w:p>
    <w:p w:rsidR="00A8381B" w:rsidRDefault="00A8381B" w:rsidP="008851F3">
      <w:pPr>
        <w:pStyle w:val="Prrafode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funciona el peronismo para sobrevivir en el sistema político?</w:t>
      </w:r>
    </w:p>
    <w:p w:rsidR="00A8381B" w:rsidRDefault="00A8381B" w:rsidP="008851F3">
      <w:pPr>
        <w:pStyle w:val="Prrafode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¿Por qué no apareció una tercera fuerza política con peso electoral?</w:t>
      </w:r>
    </w:p>
    <w:p w:rsidR="00A8381B" w:rsidRPr="00BC321C" w:rsidRDefault="000E7D1C" w:rsidP="008851F3">
      <w:pPr>
        <w:pStyle w:val="Prrafode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Explique p</w:t>
      </w:r>
      <w:r w:rsidR="00FA3FBD">
        <w:rPr>
          <w:rFonts w:ascii="Arial" w:hAnsi="Arial" w:cs="Arial"/>
          <w:sz w:val="24"/>
          <w:szCs w:val="24"/>
        </w:rPr>
        <w:t>or qué para el autor, los argumentos de la desnacionalización del sistema partidario y la crisis de representación, ocultan otra realidad política.</w:t>
      </w:r>
    </w:p>
    <w:sectPr w:rsidR="00A8381B" w:rsidRPr="00BC321C" w:rsidSect="000E10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B590A"/>
    <w:multiLevelType w:val="hybridMultilevel"/>
    <w:tmpl w:val="9BEE8A0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21C"/>
    <w:rsid w:val="0009567A"/>
    <w:rsid w:val="000E1071"/>
    <w:rsid w:val="000E7D1C"/>
    <w:rsid w:val="00534EE6"/>
    <w:rsid w:val="008851F3"/>
    <w:rsid w:val="00A8381B"/>
    <w:rsid w:val="00AB085B"/>
    <w:rsid w:val="00BC321C"/>
    <w:rsid w:val="00CF3BAA"/>
    <w:rsid w:val="00FA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21C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32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21C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3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Irina</cp:lastModifiedBy>
  <cp:revision>2</cp:revision>
  <dcterms:created xsi:type="dcterms:W3CDTF">2019-10-03T04:27:00Z</dcterms:created>
  <dcterms:modified xsi:type="dcterms:W3CDTF">2019-10-03T04:27:00Z</dcterms:modified>
</cp:coreProperties>
</file>