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A66" w:rsidRDefault="001F6A66" w:rsidP="001F6A66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UNIVERSIDAD DE BUENOS AIRES</w:t>
      </w:r>
    </w:p>
    <w:p w:rsidR="001F6A66" w:rsidRDefault="001F6A66" w:rsidP="001F6A66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CICLO BASICO COMUN</w:t>
      </w:r>
    </w:p>
    <w:p w:rsidR="001F6A66" w:rsidRDefault="001F6A66" w:rsidP="001F6A66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Introducción al Conocimiento de la Sociedad y el Estado</w:t>
      </w:r>
    </w:p>
    <w:p w:rsidR="001F6A66" w:rsidRDefault="001F6A66" w:rsidP="001F6A6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66DD8">
        <w:rPr>
          <w:rFonts w:ascii="Arial" w:hAnsi="Arial" w:cs="Arial"/>
          <w:sz w:val="24"/>
          <w:szCs w:val="24"/>
          <w:u w:val="single"/>
        </w:rPr>
        <w:t>Sedes</w:t>
      </w:r>
      <w:r w:rsidRPr="00766DD8">
        <w:rPr>
          <w:rFonts w:ascii="Arial" w:hAnsi="Arial" w:cs="Arial"/>
          <w:sz w:val="24"/>
          <w:szCs w:val="24"/>
        </w:rPr>
        <w:t xml:space="preserve">: Las Heras, Vicente López, Montes de Oca, </w:t>
      </w:r>
      <w:proofErr w:type="spellStart"/>
      <w:r w:rsidRPr="00766DD8">
        <w:rPr>
          <w:rFonts w:ascii="Arial" w:hAnsi="Arial" w:cs="Arial"/>
          <w:sz w:val="24"/>
          <w:szCs w:val="24"/>
        </w:rPr>
        <w:t>Puán</w:t>
      </w:r>
      <w:proofErr w:type="spellEnd"/>
      <w:r w:rsidRPr="00766DD8">
        <w:rPr>
          <w:rFonts w:ascii="Arial" w:hAnsi="Arial" w:cs="Arial"/>
          <w:sz w:val="24"/>
          <w:szCs w:val="24"/>
        </w:rPr>
        <w:t xml:space="preserve"> y Drago.</w:t>
      </w:r>
    </w:p>
    <w:p w:rsidR="001F6A66" w:rsidRPr="00766DD8" w:rsidRDefault="001F6A66" w:rsidP="001F6A6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F6A66" w:rsidRDefault="001F6A66" w:rsidP="001F6A66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766DD8">
        <w:rPr>
          <w:rFonts w:ascii="Arial" w:hAnsi="Arial" w:cs="Arial"/>
          <w:b/>
          <w:sz w:val="24"/>
          <w:szCs w:val="24"/>
        </w:rPr>
        <w:t>TERCERA PARTE: Estado, política y sociedad en la Argentina</w:t>
      </w:r>
    </w:p>
    <w:p w:rsidR="001F6A66" w:rsidRDefault="001F6A66" w:rsidP="001F6A6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F6A66" w:rsidRDefault="001F6A66" w:rsidP="00BC09E9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1F6A66">
        <w:rPr>
          <w:rFonts w:ascii="Arial" w:hAnsi="Arial" w:cs="Arial"/>
          <w:sz w:val="24"/>
          <w:szCs w:val="24"/>
          <w:u w:val="single"/>
        </w:rPr>
        <w:t xml:space="preserve">GUIA DE LECTURA: </w:t>
      </w:r>
      <w:r w:rsidRPr="001F6A66">
        <w:rPr>
          <w:rFonts w:ascii="Arial" w:hAnsi="Arial" w:cs="Arial"/>
          <w:sz w:val="24"/>
          <w:szCs w:val="24"/>
          <w:u w:val="single"/>
        </w:rPr>
        <w:t>Clase 19: Grupos de interés y de presión</w:t>
      </w:r>
    </w:p>
    <w:p w:rsidR="001F6A66" w:rsidRPr="001F6A66" w:rsidRDefault="001F6A66" w:rsidP="00BC09E9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:rsidR="00A96D54" w:rsidRDefault="001F6A66" w:rsidP="00BC09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F6A66">
        <w:rPr>
          <w:rFonts w:ascii="Arial" w:hAnsi="Arial" w:cs="Arial"/>
          <w:b/>
          <w:sz w:val="24"/>
          <w:szCs w:val="24"/>
        </w:rPr>
        <w:t xml:space="preserve">Calvo, E. y </w:t>
      </w:r>
      <w:proofErr w:type="spellStart"/>
      <w:r w:rsidRPr="001F6A66">
        <w:rPr>
          <w:rFonts w:ascii="Arial" w:hAnsi="Arial" w:cs="Arial"/>
          <w:b/>
          <w:sz w:val="24"/>
          <w:szCs w:val="24"/>
        </w:rPr>
        <w:t>Aruguete</w:t>
      </w:r>
      <w:proofErr w:type="spellEnd"/>
      <w:r w:rsidRPr="001F6A66">
        <w:rPr>
          <w:rFonts w:ascii="Arial" w:hAnsi="Arial" w:cs="Arial"/>
          <w:b/>
          <w:sz w:val="24"/>
          <w:szCs w:val="24"/>
        </w:rPr>
        <w:t>, N</w:t>
      </w:r>
      <w:r w:rsidRPr="001F6A66">
        <w:rPr>
          <w:rFonts w:ascii="Arial" w:hAnsi="Arial" w:cs="Arial"/>
          <w:sz w:val="24"/>
          <w:szCs w:val="24"/>
        </w:rPr>
        <w:t>. (2020) “1. El crédulo Mr. Tucker: Usuario, mensaje y red”, en</w:t>
      </w:r>
      <w:r w:rsidRPr="001F6A66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1F6A66">
        <w:rPr>
          <w:rFonts w:ascii="Arial" w:hAnsi="Arial" w:cs="Arial"/>
          <w:i/>
          <w:sz w:val="24"/>
          <w:szCs w:val="24"/>
        </w:rPr>
        <w:t>Fake</w:t>
      </w:r>
      <w:proofErr w:type="spellEnd"/>
      <w:r w:rsidRPr="001F6A66">
        <w:rPr>
          <w:rFonts w:ascii="Arial" w:hAnsi="Arial" w:cs="Arial"/>
          <w:i/>
          <w:sz w:val="24"/>
          <w:szCs w:val="24"/>
        </w:rPr>
        <w:t xml:space="preserve">, </w:t>
      </w:r>
      <w:proofErr w:type="spellStart"/>
      <w:r w:rsidRPr="001F6A66">
        <w:rPr>
          <w:rFonts w:ascii="Arial" w:hAnsi="Arial" w:cs="Arial"/>
          <w:i/>
          <w:sz w:val="24"/>
          <w:szCs w:val="24"/>
        </w:rPr>
        <w:t>news</w:t>
      </w:r>
      <w:proofErr w:type="spellEnd"/>
      <w:r w:rsidRPr="001F6A66">
        <w:rPr>
          <w:rFonts w:ascii="Arial" w:hAnsi="Arial" w:cs="Arial"/>
          <w:i/>
          <w:sz w:val="24"/>
          <w:szCs w:val="24"/>
        </w:rPr>
        <w:t xml:space="preserve">, </w:t>
      </w:r>
      <w:proofErr w:type="spellStart"/>
      <w:r w:rsidRPr="001F6A66">
        <w:rPr>
          <w:rFonts w:ascii="Arial" w:hAnsi="Arial" w:cs="Arial"/>
          <w:i/>
          <w:sz w:val="24"/>
          <w:szCs w:val="24"/>
        </w:rPr>
        <w:t>trolls</w:t>
      </w:r>
      <w:proofErr w:type="spellEnd"/>
      <w:r w:rsidRPr="001F6A66">
        <w:rPr>
          <w:rFonts w:ascii="Arial" w:hAnsi="Arial" w:cs="Arial"/>
          <w:i/>
          <w:sz w:val="24"/>
          <w:szCs w:val="24"/>
        </w:rPr>
        <w:t xml:space="preserve"> y otros encantos, cómo funcionan (para bien y para mal) las redes sociales</w:t>
      </w:r>
      <w:r w:rsidRPr="001F6A66">
        <w:rPr>
          <w:rFonts w:ascii="Arial" w:hAnsi="Arial" w:cs="Arial"/>
          <w:sz w:val="24"/>
          <w:szCs w:val="24"/>
        </w:rPr>
        <w:t xml:space="preserve">, Siglos XXI </w:t>
      </w:r>
      <w:r w:rsidR="00BC09E9" w:rsidRPr="001F6A66">
        <w:rPr>
          <w:rFonts w:ascii="Arial" w:hAnsi="Arial" w:cs="Arial"/>
          <w:sz w:val="24"/>
          <w:szCs w:val="24"/>
        </w:rPr>
        <w:t>editores</w:t>
      </w:r>
      <w:r w:rsidRPr="001F6A66">
        <w:rPr>
          <w:rFonts w:ascii="Arial" w:hAnsi="Arial" w:cs="Arial"/>
          <w:sz w:val="24"/>
          <w:szCs w:val="24"/>
        </w:rPr>
        <w:t>, Buenos Aires, Argentina. (pp.: 1-12)</w:t>
      </w:r>
    </w:p>
    <w:p w:rsidR="001F6A66" w:rsidRDefault="001F6A66" w:rsidP="00BC09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F6A66" w:rsidRDefault="001F6A66" w:rsidP="00BC09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 </w:t>
      </w:r>
      <w:r w:rsidR="00AB38DB">
        <w:rPr>
          <w:rFonts w:ascii="Arial" w:hAnsi="Arial" w:cs="Arial"/>
          <w:sz w:val="24"/>
          <w:szCs w:val="24"/>
        </w:rPr>
        <w:t>Enumere los pasos que sigue en las redes sociales un evento político que se genera como tal y explique qué significa el concepto “activación en cascada”.</w:t>
      </w:r>
    </w:p>
    <w:p w:rsidR="00AB38DB" w:rsidRDefault="00AB38DB" w:rsidP="00BC09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47580" w:rsidRDefault="00AB38DB" w:rsidP="00BC09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¿En qué consistió el “error” que “Mr. Tucker” publicó en las redes sociales? ¿Por qué la rectificación que llevó a cabo no despertó interés en los lectores? Lea la cita a pie de página n° 12 de la página </w:t>
      </w:r>
      <w:r w:rsidR="00247580">
        <w:rPr>
          <w:rFonts w:ascii="Arial" w:hAnsi="Arial" w:cs="Arial"/>
          <w:sz w:val="24"/>
          <w:szCs w:val="24"/>
        </w:rPr>
        <w:t>número 30 del texto y analícela.</w:t>
      </w:r>
    </w:p>
    <w:p w:rsidR="00247580" w:rsidRDefault="00247580" w:rsidP="00BC09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B38DB" w:rsidRDefault="00247580" w:rsidP="00BC09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r w:rsidR="00961C0A">
        <w:rPr>
          <w:rFonts w:ascii="Arial" w:hAnsi="Arial" w:cs="Arial"/>
          <w:sz w:val="24"/>
          <w:szCs w:val="24"/>
        </w:rPr>
        <w:t>¿Qué significa en comunicación política, “</w:t>
      </w:r>
      <w:proofErr w:type="spellStart"/>
      <w:r w:rsidR="00961C0A">
        <w:rPr>
          <w:rFonts w:ascii="Arial" w:hAnsi="Arial" w:cs="Arial"/>
          <w:sz w:val="24"/>
          <w:szCs w:val="24"/>
        </w:rPr>
        <w:t>preactivar</w:t>
      </w:r>
      <w:proofErr w:type="spellEnd"/>
      <w:r w:rsidR="00961C0A">
        <w:rPr>
          <w:rFonts w:ascii="Arial" w:hAnsi="Arial" w:cs="Arial"/>
          <w:sz w:val="24"/>
          <w:szCs w:val="24"/>
        </w:rPr>
        <w:t xml:space="preserve">”?  ¿Por qué los autores dicen que “Mr. Tucker ya se encontraba </w:t>
      </w:r>
      <w:proofErr w:type="spellStart"/>
      <w:r w:rsidR="00961C0A">
        <w:rPr>
          <w:rFonts w:ascii="Arial" w:hAnsi="Arial" w:cs="Arial"/>
          <w:sz w:val="24"/>
          <w:szCs w:val="24"/>
        </w:rPr>
        <w:t>preactivado</w:t>
      </w:r>
      <w:proofErr w:type="spellEnd"/>
      <w:r w:rsidR="00961C0A">
        <w:rPr>
          <w:rFonts w:ascii="Arial" w:hAnsi="Arial" w:cs="Arial"/>
          <w:sz w:val="24"/>
          <w:szCs w:val="24"/>
        </w:rPr>
        <w:t>”? Explique, además, el concepto de “razonamiento motivado” y su relación con la pertenencia a la comunidad de cada quien, en redes sociales.</w:t>
      </w:r>
    </w:p>
    <w:p w:rsidR="00961C0A" w:rsidRDefault="00961C0A" w:rsidP="00BC09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61C0A" w:rsidRPr="001F6A66" w:rsidRDefault="00961C0A" w:rsidP="00BC09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4) </w:t>
      </w:r>
      <w:r w:rsidR="00A321E9">
        <w:rPr>
          <w:rFonts w:ascii="Arial" w:hAnsi="Arial" w:cs="Arial"/>
          <w:sz w:val="24"/>
          <w:szCs w:val="24"/>
        </w:rPr>
        <w:t>Expliqué por qué el primer tuit que envió “Mr. Tucker”</w:t>
      </w:r>
      <w:r w:rsidR="00BC09E9">
        <w:rPr>
          <w:rFonts w:ascii="Arial" w:hAnsi="Arial" w:cs="Arial"/>
          <w:sz w:val="24"/>
          <w:szCs w:val="24"/>
        </w:rPr>
        <w:t xml:space="preserve"> logró </w:t>
      </w:r>
      <w:proofErr w:type="spellStart"/>
      <w:r w:rsidR="00BC09E9">
        <w:rPr>
          <w:rFonts w:ascii="Arial" w:hAnsi="Arial" w:cs="Arial"/>
          <w:sz w:val="24"/>
          <w:szCs w:val="24"/>
        </w:rPr>
        <w:t>viralizarse</w:t>
      </w:r>
      <w:proofErr w:type="spellEnd"/>
      <w:r w:rsidR="00BC09E9">
        <w:rPr>
          <w:rFonts w:ascii="Arial" w:hAnsi="Arial" w:cs="Arial"/>
          <w:sz w:val="24"/>
          <w:szCs w:val="24"/>
        </w:rPr>
        <w:t xml:space="preserve"> exitosamente y por qué, el segundo, que subió para corregir el contenido del primero, tuvo mucha menos difusión y concitó menos interés en los lectores ¿Qué consecuencias le ocasionaron estos episodios a “Mr. Tucker” en relación con su comunidad de pertenencia?</w:t>
      </w:r>
      <w:bookmarkStart w:id="0" w:name="_GoBack"/>
      <w:bookmarkEnd w:id="0"/>
    </w:p>
    <w:sectPr w:rsidR="00961C0A" w:rsidRPr="001F6A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A66"/>
    <w:rsid w:val="001F6A66"/>
    <w:rsid w:val="00247580"/>
    <w:rsid w:val="00961C0A"/>
    <w:rsid w:val="00A321E9"/>
    <w:rsid w:val="00A96D54"/>
    <w:rsid w:val="00AB38DB"/>
    <w:rsid w:val="00BC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3C951"/>
  <w15:chartTrackingRefBased/>
  <w15:docId w15:val="{B43DC925-9101-4773-8DF2-B5CAB94E6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2023-10-11T02:59:00Z</dcterms:created>
  <dcterms:modified xsi:type="dcterms:W3CDTF">2023-10-11T02:59:00Z</dcterms:modified>
</cp:coreProperties>
</file>