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B13" w:rsidRDefault="00B20B13" w:rsidP="00B20B13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6130D2">
        <w:rPr>
          <w:rFonts w:ascii="Arial" w:hAnsi="Arial" w:cs="Arial"/>
          <w:b/>
          <w:sz w:val="24"/>
          <w:szCs w:val="24"/>
        </w:rPr>
        <w:t>UNIVERSIDAD BUENOS AIRES</w:t>
      </w:r>
    </w:p>
    <w:p w:rsidR="00B20B13" w:rsidRDefault="00B20B13" w:rsidP="00B20B1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CICLO BASICO COMUN (</w:t>
      </w:r>
      <w:r w:rsidRPr="00CA6B08">
        <w:rPr>
          <w:rFonts w:ascii="Arial" w:hAnsi="Arial" w:cs="Arial"/>
          <w:sz w:val="24"/>
          <w:szCs w:val="24"/>
          <w:u w:val="single"/>
        </w:rPr>
        <w:t>sedes</w:t>
      </w:r>
      <w:r>
        <w:rPr>
          <w:rFonts w:ascii="Arial" w:hAnsi="Arial" w:cs="Arial"/>
          <w:sz w:val="24"/>
          <w:szCs w:val="24"/>
        </w:rPr>
        <w:t>: Las Heras, Vicente López y Montes de Oca)</w:t>
      </w:r>
    </w:p>
    <w:p w:rsidR="00B20B13" w:rsidRPr="00624F04" w:rsidRDefault="00B20B13" w:rsidP="00B20B1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130D2">
        <w:rPr>
          <w:rFonts w:ascii="Arial" w:hAnsi="Arial" w:cs="Arial"/>
          <w:b/>
          <w:sz w:val="24"/>
          <w:szCs w:val="24"/>
        </w:rPr>
        <w:t>Introducción al Conocimiento de la Sociedad y el Estado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624F04">
        <w:rPr>
          <w:rFonts w:ascii="Arial" w:hAnsi="Arial" w:cs="Arial"/>
          <w:sz w:val="24"/>
          <w:szCs w:val="24"/>
        </w:rPr>
        <w:t xml:space="preserve">– </w:t>
      </w:r>
      <w:r w:rsidRPr="00624F04">
        <w:rPr>
          <w:rFonts w:ascii="Arial" w:hAnsi="Arial" w:cs="Arial"/>
          <w:sz w:val="24"/>
          <w:szCs w:val="24"/>
          <w:u w:val="single"/>
        </w:rPr>
        <w:t>Cátedra</w:t>
      </w:r>
      <w:r w:rsidRPr="00624F04">
        <w:rPr>
          <w:rFonts w:ascii="Arial" w:hAnsi="Arial" w:cs="Arial"/>
          <w:sz w:val="24"/>
          <w:szCs w:val="24"/>
        </w:rPr>
        <w:t>: M.P. Bertino</w:t>
      </w:r>
    </w:p>
    <w:p w:rsidR="001D2401" w:rsidRDefault="001D2401" w:rsidP="001D2401">
      <w:pPr>
        <w:spacing w:line="0" w:lineRule="atLeast"/>
        <w:jc w:val="both"/>
        <w:rPr>
          <w:rFonts w:ascii="Arial" w:hAnsi="Arial" w:cs="Arial"/>
          <w:sz w:val="24"/>
          <w:szCs w:val="24"/>
          <w:u w:val="single"/>
        </w:rPr>
      </w:pPr>
      <w:bookmarkStart w:id="0" w:name="_GoBack"/>
      <w:bookmarkEnd w:id="0"/>
    </w:p>
    <w:p w:rsidR="00E91903" w:rsidRPr="000B2FB1" w:rsidRDefault="00E91903" w:rsidP="001D2401">
      <w:pPr>
        <w:spacing w:line="0" w:lineRule="atLeast"/>
        <w:jc w:val="both"/>
        <w:rPr>
          <w:rFonts w:ascii="Arial" w:hAnsi="Arial" w:cs="Arial"/>
          <w:sz w:val="24"/>
          <w:szCs w:val="24"/>
          <w:u w:val="single"/>
        </w:rPr>
      </w:pPr>
      <w:r w:rsidRPr="000B2FB1">
        <w:rPr>
          <w:rFonts w:ascii="Arial" w:hAnsi="Arial" w:cs="Arial"/>
          <w:sz w:val="24"/>
          <w:szCs w:val="24"/>
          <w:u w:val="single"/>
        </w:rPr>
        <w:t>GUIA DE LECTURA</w:t>
      </w:r>
    </w:p>
    <w:p w:rsidR="00E91903" w:rsidRDefault="00E91903" w:rsidP="001D2401">
      <w:pPr>
        <w:spacing w:line="0" w:lineRule="atLeast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Tercera Parte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b/>
          <w:sz w:val="24"/>
          <w:szCs w:val="24"/>
        </w:rPr>
        <w:t>Estado, política y sociedad en la Argentina</w:t>
      </w:r>
    </w:p>
    <w:p w:rsidR="00E91903" w:rsidRDefault="00E91903" w:rsidP="001D240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Etchemendy, S., “</w:t>
      </w:r>
      <w:r w:rsidRPr="00E91903">
        <w:rPr>
          <w:rFonts w:ascii="Arial" w:hAnsi="Arial" w:cs="Arial"/>
          <w:i/>
          <w:sz w:val="24"/>
          <w:szCs w:val="24"/>
        </w:rPr>
        <w:t>El sindicalismo argentino en la era pos-liberal (2003-2011)</w:t>
      </w:r>
      <w:r>
        <w:rPr>
          <w:rFonts w:ascii="Arial" w:hAnsi="Arial" w:cs="Arial"/>
          <w:sz w:val="24"/>
          <w:szCs w:val="24"/>
        </w:rPr>
        <w:t xml:space="preserve">”, en </w:t>
      </w:r>
      <w:r w:rsidRPr="00C578D5">
        <w:rPr>
          <w:rFonts w:ascii="Arial" w:hAnsi="Arial" w:cs="Arial"/>
          <w:b/>
          <w:sz w:val="24"/>
          <w:szCs w:val="24"/>
        </w:rPr>
        <w:t>Andrés Malamud</w:t>
      </w:r>
      <w:r>
        <w:rPr>
          <w:rFonts w:ascii="Arial" w:hAnsi="Arial" w:cs="Arial"/>
          <w:sz w:val="24"/>
          <w:szCs w:val="24"/>
        </w:rPr>
        <w:t xml:space="preserve"> y </w:t>
      </w:r>
      <w:r w:rsidRPr="00C578D5">
        <w:rPr>
          <w:rFonts w:ascii="Arial" w:hAnsi="Arial" w:cs="Arial"/>
          <w:b/>
          <w:sz w:val="24"/>
          <w:szCs w:val="24"/>
        </w:rPr>
        <w:t>Miguel De Luca</w:t>
      </w:r>
      <w:r>
        <w:rPr>
          <w:rFonts w:ascii="Arial" w:hAnsi="Arial" w:cs="Arial"/>
          <w:sz w:val="24"/>
          <w:szCs w:val="24"/>
        </w:rPr>
        <w:t xml:space="preserve"> (coord.), </w:t>
      </w:r>
      <w:r w:rsidRPr="00C578D5">
        <w:rPr>
          <w:rFonts w:ascii="Arial" w:hAnsi="Arial" w:cs="Arial"/>
          <w:sz w:val="24"/>
          <w:szCs w:val="24"/>
          <w:u w:val="single"/>
        </w:rPr>
        <w:t>La política en tiempos de los Kirchner</w:t>
      </w:r>
      <w:r>
        <w:rPr>
          <w:rFonts w:ascii="Arial" w:hAnsi="Arial" w:cs="Arial"/>
          <w:sz w:val="24"/>
          <w:szCs w:val="24"/>
        </w:rPr>
        <w:t>, Buenos Aires, Eudeba, (págs.: 155</w:t>
      </w:r>
      <w:r w:rsidR="000F3AB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–</w:t>
      </w:r>
      <w:r w:rsidR="000F3AB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165)</w:t>
      </w:r>
    </w:p>
    <w:p w:rsidR="006D6E1D" w:rsidRDefault="002A2FF6" w:rsidP="001D2401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Describa los antecedentes del período Kirchnerista en relación al sindicalismo.</w:t>
      </w:r>
    </w:p>
    <w:p w:rsidR="002A2FF6" w:rsidRDefault="001D2401" w:rsidP="001D2401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¿Cuáles fueron </w:t>
      </w:r>
      <w:r w:rsidR="002A2FF6">
        <w:rPr>
          <w:rFonts w:ascii="Arial" w:hAnsi="Arial" w:cs="Arial"/>
          <w:sz w:val="24"/>
          <w:szCs w:val="24"/>
        </w:rPr>
        <w:t xml:space="preserve">los cambios en el sindicalismo que se dieron bajo el kirchnerismo? ¿Qué sindicatos fueron los protagonistas? </w:t>
      </w:r>
    </w:p>
    <w:p w:rsidR="002A2FF6" w:rsidRDefault="002A2FF6" w:rsidP="001D2401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Explique cuáles fueron las dos consecuencias producto del nuevo auge sindical.</w:t>
      </w:r>
    </w:p>
    <w:p w:rsidR="002A2FF6" w:rsidRDefault="002A2FF6" w:rsidP="001D2401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Describa los llamados por el autor, “viejos vicios” del sindicalismo argentino.</w:t>
      </w:r>
    </w:p>
    <w:p w:rsidR="002A2FF6" w:rsidRDefault="002A2FF6" w:rsidP="001D2401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¿Cómo se llevó a cabo la función mediadora del estado nacional bajo el Kirchnerismo y qué lograron los sindicatos?</w:t>
      </w:r>
    </w:p>
    <w:p w:rsidR="002A2FF6" w:rsidRPr="002A2FF6" w:rsidRDefault="002A2FF6" w:rsidP="001D2401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¿Por qué el autor sostiene que el sindicalismo argentino es un “actor complejo”? Describa el balance que realiza.</w:t>
      </w:r>
    </w:p>
    <w:sectPr w:rsidR="002A2FF6" w:rsidRPr="002A2FF6" w:rsidSect="006D6E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F65563"/>
    <w:multiLevelType w:val="hybridMultilevel"/>
    <w:tmpl w:val="55E214A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903"/>
    <w:rsid w:val="000F3ABF"/>
    <w:rsid w:val="001D2401"/>
    <w:rsid w:val="002A2FF6"/>
    <w:rsid w:val="006D6E1D"/>
    <w:rsid w:val="00B20B13"/>
    <w:rsid w:val="00E9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1903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D2401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1903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D240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18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Pablo Guillermo Moschen</cp:lastModifiedBy>
  <cp:revision>3</cp:revision>
  <dcterms:created xsi:type="dcterms:W3CDTF">2019-06-19T17:47:00Z</dcterms:created>
  <dcterms:modified xsi:type="dcterms:W3CDTF">2019-06-19T18:11:00Z</dcterms:modified>
</cp:coreProperties>
</file>