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CABB" w14:textId="5EA2892D" w:rsidR="00985DB3" w:rsidRDefault="00F34969" w:rsidP="005B6B98">
      <w:pPr>
        <w:pStyle w:val="Tytu"/>
        <w:spacing w:before="120" w:after="120" w:line="360" w:lineRule="auto"/>
        <w:jc w:val="both"/>
      </w:pPr>
      <w:r>
        <w:t xml:space="preserve">Opis </w:t>
      </w:r>
      <w:r w:rsidR="00D85E9A">
        <w:t xml:space="preserve">implementacji języka </w:t>
      </w:r>
      <w:r w:rsidR="009E3516">
        <w:t>Matal</w:t>
      </w:r>
    </w:p>
    <w:p w14:paraId="3BCC5435" w14:textId="7AEA5095" w:rsidR="00F34969" w:rsidRDefault="00B91A28" w:rsidP="005B6B98">
      <w:pPr>
        <w:pStyle w:val="Podtytu"/>
        <w:spacing w:before="120" w:after="120"/>
        <w:jc w:val="both"/>
      </w:pPr>
      <w:r>
        <w:t>Aleksander Matusiak</w:t>
      </w:r>
    </w:p>
    <w:p w14:paraId="7269D32F" w14:textId="0D25A4C7" w:rsidR="003853A0" w:rsidRPr="003853A0" w:rsidRDefault="00D85E9A" w:rsidP="005B6B98">
      <w:pPr>
        <w:pStyle w:val="Nagwek1"/>
        <w:spacing w:before="120" w:after="120"/>
        <w:jc w:val="both"/>
      </w:pPr>
      <w:r>
        <w:t>C</w:t>
      </w:r>
      <w:r w:rsidR="00B91A28">
        <w:t>echy języka</w:t>
      </w:r>
    </w:p>
    <w:p w14:paraId="28C73ACA" w14:textId="57A551AA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Typy</w:t>
      </w:r>
      <w:r>
        <w:t>: bool, int, voi</w:t>
      </w:r>
      <w:r w:rsidR="00B91A28">
        <w:t>d (</w:t>
      </w:r>
      <w:r w:rsidR="00D85E9A">
        <w:t>do możliwości stworzenia procedur</w:t>
      </w:r>
      <w:r w:rsidR="00B91A28">
        <w:t>)</w:t>
      </w:r>
    </w:p>
    <w:p w14:paraId="7E27206F" w14:textId="19FE863B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Arytmetyka i przypisania</w:t>
      </w:r>
      <w:r>
        <w:t>: +, -, *, /, ( ), zmienna+</w:t>
      </w:r>
      <w:r w:rsidR="0058338E">
        <w:t>+, zmienna--, =, +=, -=</w:t>
      </w:r>
      <w:r w:rsidR="00B91A28">
        <w:t>, *=, /=, porównywanie wartości</w:t>
      </w:r>
    </w:p>
    <w:p w14:paraId="3E144659" w14:textId="77777777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 xml:space="preserve">Pętle: </w:t>
      </w:r>
      <w:r>
        <w:t>while i for</w:t>
      </w:r>
    </w:p>
    <w:p w14:paraId="2ADBA045" w14:textId="3312EBF5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Instrukcje warunkowe:</w:t>
      </w:r>
      <w:r>
        <w:t xml:space="preserve"> if, if … else</w:t>
      </w:r>
      <w:r w:rsidR="00197C7A">
        <w:t xml:space="preserve"> (niezbędne nawiasy klamrowe)</w:t>
      </w:r>
    </w:p>
    <w:p w14:paraId="46A04C09" w14:textId="77F2EC3E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Funkcje</w:t>
      </w:r>
      <w:r>
        <w:t>: rekurencja, dowolne zagnieżdżanie</w:t>
      </w:r>
      <w:r w:rsidR="00197C7A">
        <w:t xml:space="preserve"> (możliwości deklaracji funkcji wewnątrz funkcji)</w:t>
      </w:r>
      <w:r>
        <w:t>, statyczne wiązanie identyfikatorów, przekazywanie parametrów przez wartość, możliwość zwrócenia typu void (de facto – procedury)</w:t>
      </w:r>
    </w:p>
    <w:p w14:paraId="0E91CE5D" w14:textId="77777777" w:rsidR="00636264" w:rsidRDefault="00636264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Przesłanianie identyfikatorów ze statycznym ich wiązaniem</w:t>
      </w:r>
    </w:p>
    <w:p w14:paraId="0AA67824" w14:textId="77777777" w:rsidR="00F34969" w:rsidRP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Statyczne typowanie</w:t>
      </w:r>
    </w:p>
    <w:p w14:paraId="2F5BB2F4" w14:textId="3D5E0959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Jawnie obsłużone błędy</w:t>
      </w:r>
      <w:r w:rsidR="005C459B">
        <w:rPr>
          <w:b/>
        </w:rPr>
        <w:t xml:space="preserve">, </w:t>
      </w:r>
      <w:r w:rsidR="005C459B" w:rsidRPr="003F200A">
        <w:t>np.:</w:t>
      </w:r>
      <w:r w:rsidRPr="003F200A">
        <w:t xml:space="preserve"> dzielenia przez 0</w:t>
      </w:r>
      <w:r w:rsidR="00197C7A">
        <w:t>, wyjście poza rozmiar tablicy</w:t>
      </w:r>
    </w:p>
    <w:p w14:paraId="6BED051E" w14:textId="7AAF21F2" w:rsidR="00F34969" w:rsidRP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 xml:space="preserve">Wypisanie wartości: </w:t>
      </w:r>
      <w:r>
        <w:t>instrukcja print</w:t>
      </w:r>
      <w:r w:rsidR="006A3D2C">
        <w:t xml:space="preserve"> – może wypisywać pojedyncze zmienne, </w:t>
      </w:r>
      <w:r w:rsidR="004864F9">
        <w:t>dodaje znak nowej linii na końcu</w:t>
      </w:r>
    </w:p>
    <w:p w14:paraId="163E52DA" w14:textId="0591694D" w:rsidR="00432602" w:rsidRPr="00432602" w:rsidRDefault="009B6151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Tablice</w:t>
      </w:r>
      <w:r w:rsidR="005C459B">
        <w:rPr>
          <w:b/>
        </w:rPr>
        <w:t>:</w:t>
      </w:r>
      <w:r>
        <w:rPr>
          <w:b/>
        </w:rPr>
        <w:t xml:space="preserve"> </w:t>
      </w:r>
      <w:r w:rsidRPr="005C459B">
        <w:t>indeksowane int</w:t>
      </w:r>
      <w:r w:rsidR="00DC2CBB">
        <w:t xml:space="preserve">, każda tablica przed użyciem musi mieć przydzielony rozmiar przy pomocy polecenia </w:t>
      </w:r>
      <w:r w:rsidR="00DC2CBB">
        <w:rPr>
          <w:i/>
        </w:rPr>
        <w:t>init</w:t>
      </w:r>
    </w:p>
    <w:p w14:paraId="7EEA3EDD" w14:textId="2D67E38D" w:rsidR="00F34969" w:rsidRDefault="00432602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Mapy:</w:t>
      </w:r>
      <w:r w:rsidR="005C459B">
        <w:t xml:space="preserve"> indeksowane dowolnymi porównywalnymi wartościami</w:t>
      </w:r>
    </w:p>
    <w:p w14:paraId="5B997ADD" w14:textId="25A8F900" w:rsidR="00197C7A" w:rsidRPr="002E48EB" w:rsidRDefault="001C44D0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Struktury</w:t>
      </w:r>
      <w:r w:rsidR="005C459B">
        <w:rPr>
          <w:b/>
        </w:rPr>
        <w:t xml:space="preserve">: </w:t>
      </w:r>
      <w:r w:rsidR="005C459B">
        <w:t>możliwość deklarowania pól z nazwami, a później odczytywania i zapisywania ich</w:t>
      </w:r>
    </w:p>
    <w:p w14:paraId="235C73EA" w14:textId="782F1592" w:rsidR="00197C7A" w:rsidRDefault="00197C7A" w:rsidP="005B6B98">
      <w:pPr>
        <w:pStyle w:val="Nagwek1"/>
        <w:spacing w:before="120" w:after="120"/>
        <w:jc w:val="both"/>
      </w:pPr>
      <w:r>
        <w:t>Opis rozwiązania</w:t>
      </w:r>
    </w:p>
    <w:p w14:paraId="675BFFB2" w14:textId="65BCD1E0" w:rsidR="00197C7A" w:rsidRDefault="00197C7A" w:rsidP="005B6B98">
      <w:pPr>
        <w:spacing w:before="120" w:after="120"/>
        <w:jc w:val="both"/>
      </w:pPr>
      <w:r>
        <w:t>Rozwiązanie składa się z dwóch modułów, które zapewniają większość logiki interpretera. Są to:</w:t>
      </w:r>
    </w:p>
    <w:p w14:paraId="4421F4E5" w14:textId="482CD5B4" w:rsidR="00197C7A" w:rsidRDefault="00197C7A" w:rsidP="005B6B98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Interpreter, który umożliwia wykonywanie instrukcji, ewaluowanie wyrażeń i deklaracji.</w:t>
      </w:r>
    </w:p>
    <w:p w14:paraId="260FD360" w14:textId="7ABF3C7C" w:rsidR="00197C7A" w:rsidRDefault="00197C7A" w:rsidP="005B6B98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Checker, który umożliwia dokonanie statycznej kontroli typów, m.in.:</w:t>
      </w:r>
    </w:p>
    <w:p w14:paraId="15804F92" w14:textId="453496C8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wartości zmiennych zgadzają się z ich zadeklarowanymi typami</w:t>
      </w:r>
    </w:p>
    <w:p w14:paraId="3B4E4833" w14:textId="67EA896B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typy wewnątrz wyrażeń się zgadzają</w:t>
      </w:r>
    </w:p>
    <w:p w14:paraId="0D8950B9" w14:textId="0B1D874D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zmienne i funkcje są widoczne w danym miejscu programu</w:t>
      </w:r>
    </w:p>
    <w:p w14:paraId="3814A57D" w14:textId="4DB9FF98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wywołujemy funkcję z odpowiedną liczbą argumentów i mają one odpowiednie typy</w:t>
      </w:r>
    </w:p>
    <w:p w14:paraId="1983140D" w14:textId="54A4E7F3" w:rsidR="002E48EB" w:rsidRDefault="002E48EB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lastRenderedPageBreak/>
        <w:t>czy funkcje zwracają odpowiedni typ</w:t>
      </w:r>
    </w:p>
    <w:p w14:paraId="06DC551D" w14:textId="738F3DB0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pola struktur istnieją i mają odpowiednie typy</w:t>
      </w:r>
    </w:p>
    <w:p w14:paraId="7108D45D" w14:textId="60857D94" w:rsidR="005B6B98" w:rsidRDefault="005B6B98" w:rsidP="005B6B98">
      <w:pPr>
        <w:pStyle w:val="Nagwek2"/>
        <w:jc w:val="both"/>
      </w:pPr>
      <w:r>
        <w:t>Zastosowane konstrukcje haskelowe</w:t>
      </w:r>
    </w:p>
    <w:p w14:paraId="5F5AA09A" w14:textId="771FF67A" w:rsidR="005B6B98" w:rsidRDefault="005B6B98" w:rsidP="005B6B98">
      <w:pPr>
        <w:jc w:val="both"/>
      </w:pPr>
      <w:r>
        <w:t>Zasadniczy kod programu (interpreter) opiera się na następujących typach:</w:t>
      </w:r>
    </w:p>
    <w:p w14:paraId="32D02B75" w14:textId="77777777" w:rsidR="005B6B98" w:rsidRPr="005B6B98" w:rsidRDefault="005B6B98" w:rsidP="005B6B98">
      <w:pPr>
        <w:jc w:val="both"/>
      </w:pPr>
    </w:p>
    <w:p w14:paraId="06E8E57B" w14:textId="4B24D70B" w:rsidR="005B6B98" w:rsidRPr="005B6B98" w:rsidRDefault="005B6B98" w:rsidP="005B6B98">
      <w:pPr>
        <w:jc w:val="both"/>
        <w:rPr>
          <w:i/>
        </w:rPr>
      </w:pPr>
      <w:r w:rsidRPr="005B6B98">
        <w:rPr>
          <w:i/>
        </w:rPr>
        <w:t>type Result = ExceptT String IO</w:t>
      </w:r>
    </w:p>
    <w:p w14:paraId="262B270A" w14:textId="2FB84466" w:rsidR="005B6B98" w:rsidRPr="005B6B98" w:rsidRDefault="005B6B98" w:rsidP="005B6B98">
      <w:pPr>
        <w:jc w:val="both"/>
        <w:rPr>
          <w:i/>
        </w:rPr>
      </w:pPr>
      <w:r w:rsidRPr="005B6B98">
        <w:rPr>
          <w:i/>
        </w:rPr>
        <w:t>type Interpreter a = StateT Store (ReaderT Env Result) a</w:t>
      </w:r>
    </w:p>
    <w:p w14:paraId="7C2F7386" w14:textId="77777777" w:rsidR="005B6B98" w:rsidRDefault="005B6B98" w:rsidP="005B6B98">
      <w:pPr>
        <w:jc w:val="both"/>
      </w:pPr>
    </w:p>
    <w:p w14:paraId="203F9165" w14:textId="22FF5177" w:rsidR="005B6B98" w:rsidRPr="005B6B98" w:rsidRDefault="005B6B98" w:rsidP="005B6B98">
      <w:pPr>
        <w:jc w:val="both"/>
      </w:pPr>
      <w:r>
        <w:rPr>
          <w:i/>
        </w:rPr>
        <w:t>Result</w:t>
      </w:r>
      <w:r>
        <w:t xml:space="preserve"> jest typem, który zwraca funkcja ewaluacyjna dla całego programu – może to być informacja o błędzie i/lub wypisanie pewnych informacji na wyjście. Z kolei przy denotacji instrukcji, wyrażeń i deklaracji posługujemy się jeszcze monadami stanu i środowiska, co umożliwia eleganckie zaimplementowanie wymaganych funkcjonalności.</w:t>
      </w:r>
    </w:p>
    <w:p w14:paraId="41B998E6" w14:textId="77777777" w:rsidR="005B6B98" w:rsidRPr="005B6B98" w:rsidRDefault="005B6B98" w:rsidP="005B6B98">
      <w:pPr>
        <w:jc w:val="both"/>
      </w:pPr>
    </w:p>
    <w:p w14:paraId="55633C14" w14:textId="07DB0BAD" w:rsidR="002E48EB" w:rsidRDefault="002E48EB" w:rsidP="005B6B98">
      <w:pPr>
        <w:pStyle w:val="Nagwek2"/>
        <w:jc w:val="both"/>
      </w:pPr>
      <w:r>
        <w:t>Uwagi o składni</w:t>
      </w:r>
    </w:p>
    <w:p w14:paraId="5D1BA021" w14:textId="14A1DF4B" w:rsidR="002E48EB" w:rsidRDefault="002E48EB" w:rsidP="005B6B98">
      <w:pPr>
        <w:jc w:val="both"/>
      </w:pPr>
      <w:r>
        <w:t>Składnia nakłada pewne ograniczenia, związane z decyzjami projektowymi poczynionymi w rozwiązaniu:</w:t>
      </w:r>
    </w:p>
    <w:p w14:paraId="647C6E57" w14:textId="66BD1096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 xml:space="preserve">polecenie </w:t>
      </w:r>
      <w:r>
        <w:rPr>
          <w:i/>
        </w:rPr>
        <w:t>return</w:t>
      </w:r>
      <w:r>
        <w:t xml:space="preserve"> musi być zawsze umieszczone na końcu każdej funkcji (też procedury),</w:t>
      </w:r>
    </w:p>
    <w:p w14:paraId="7E323C9B" w14:textId="12F60E92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>deklaracje zmiennych muszą znajdować się na początku ciała funkcji/bloku,</w:t>
      </w:r>
    </w:p>
    <w:p w14:paraId="17D83951" w14:textId="659251D0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>wewnętrzne funkcje muszą być zdefiniowane w funkcji zaraz po deklaracji zmiennych lokalnych.</w:t>
      </w:r>
    </w:p>
    <w:p w14:paraId="2866DCF9" w14:textId="39A86B35" w:rsidR="002E48EB" w:rsidRDefault="002E48EB" w:rsidP="005B6B98">
      <w:pPr>
        <w:pStyle w:val="Nagwek2"/>
        <w:spacing w:before="120" w:after="120"/>
        <w:jc w:val="both"/>
      </w:pPr>
      <w:r>
        <w:t>Obsługa L-wartości</w:t>
      </w:r>
    </w:p>
    <w:p w14:paraId="0D380870" w14:textId="2EA452CC" w:rsidR="002E48EB" w:rsidRDefault="002E48EB" w:rsidP="005B6B98">
      <w:pPr>
        <w:spacing w:before="120" w:after="120"/>
        <w:jc w:val="both"/>
      </w:pPr>
      <w:r>
        <w:t>Rozwiązanie dostarcza podstawową obsługę L-wartości (co jest sprawdzane podczas statycznej analizy typów). Po lewej stronie przypisania mogą być:</w:t>
      </w:r>
    </w:p>
    <w:p w14:paraId="3BEDD8D6" w14:textId="4BB09FB5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zmienne,</w:t>
      </w:r>
    </w:p>
    <w:p w14:paraId="2A305D80" w14:textId="752FF400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pola struktur,</w:t>
      </w:r>
    </w:p>
    <w:p w14:paraId="6A673820" w14:textId="3DD37B5A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 xml:space="preserve">elementy tablic, </w:t>
      </w:r>
    </w:p>
    <w:p w14:paraId="3BD0F133" w14:textId="032F04B0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elementy map,</w:t>
      </w:r>
    </w:p>
    <w:p w14:paraId="57E62411" w14:textId="0E1EE4D9" w:rsidR="002E48EB" w:rsidRPr="00290238" w:rsidRDefault="002E48EB" w:rsidP="005B6B98">
      <w:pPr>
        <w:pStyle w:val="Akapitzlist"/>
        <w:spacing w:before="120" w:after="120"/>
        <w:ind w:left="0"/>
        <w:jc w:val="both"/>
      </w:pPr>
      <w:r>
        <w:t>przy czym nie można łączyć powyższych wyrażeń, tzn. nie można np. przypisywać na pole struktury w tablicy struktur.</w:t>
      </w:r>
      <w:r w:rsidR="00290238">
        <w:t xml:space="preserve"> Powyższe ograniczenia związane z tablicami dotyczą również polecenia </w:t>
      </w:r>
      <w:r w:rsidR="00290238">
        <w:rPr>
          <w:i/>
        </w:rPr>
        <w:t>init</w:t>
      </w:r>
      <w:r w:rsidR="00290238">
        <w:t>, tzn. można inicjować tylko jeden „poziom”</w:t>
      </w:r>
      <w:r w:rsidR="005C00EB">
        <w:t xml:space="preserve"> tablicy na raz.</w:t>
      </w:r>
      <w:bookmarkStart w:id="0" w:name="_GoBack"/>
      <w:bookmarkEnd w:id="0"/>
    </w:p>
    <w:sectPr w:rsidR="002E48EB" w:rsidRPr="00290238" w:rsidSect="001F7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1957"/>
    <w:multiLevelType w:val="hybridMultilevel"/>
    <w:tmpl w:val="AB0C8F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5F3"/>
    <w:multiLevelType w:val="hybridMultilevel"/>
    <w:tmpl w:val="82DA6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297"/>
    <w:multiLevelType w:val="hybridMultilevel"/>
    <w:tmpl w:val="0742C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09FA"/>
    <w:multiLevelType w:val="hybridMultilevel"/>
    <w:tmpl w:val="B46E8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69"/>
    <w:rsid w:val="00040E65"/>
    <w:rsid w:val="000A045B"/>
    <w:rsid w:val="000C7E9A"/>
    <w:rsid w:val="000F69FE"/>
    <w:rsid w:val="00151669"/>
    <w:rsid w:val="00197C7A"/>
    <w:rsid w:val="001C44D0"/>
    <w:rsid w:val="001F765F"/>
    <w:rsid w:val="00290238"/>
    <w:rsid w:val="002E48EB"/>
    <w:rsid w:val="00323A12"/>
    <w:rsid w:val="003853A0"/>
    <w:rsid w:val="003B765E"/>
    <w:rsid w:val="003F200A"/>
    <w:rsid w:val="00432602"/>
    <w:rsid w:val="004864F9"/>
    <w:rsid w:val="004D7AEC"/>
    <w:rsid w:val="0058338E"/>
    <w:rsid w:val="005B6B98"/>
    <w:rsid w:val="005C00EB"/>
    <w:rsid w:val="005C459B"/>
    <w:rsid w:val="00636264"/>
    <w:rsid w:val="00677C33"/>
    <w:rsid w:val="006A3D2C"/>
    <w:rsid w:val="007B0010"/>
    <w:rsid w:val="008B2650"/>
    <w:rsid w:val="009B6151"/>
    <w:rsid w:val="009E3516"/>
    <w:rsid w:val="00A269F7"/>
    <w:rsid w:val="00AE2CB1"/>
    <w:rsid w:val="00B828B2"/>
    <w:rsid w:val="00B91A28"/>
    <w:rsid w:val="00D85E9A"/>
    <w:rsid w:val="00DC2CBB"/>
    <w:rsid w:val="00DF40A1"/>
    <w:rsid w:val="00F076AE"/>
    <w:rsid w:val="00F11BDF"/>
    <w:rsid w:val="00F34969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42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4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6B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9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349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1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91A2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2E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6B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433</Words>
  <Characters>2604</Characters>
  <Application>Microsoft Macintosh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Cechy języka</vt:lpstr>
      <vt:lpstr>Opis rozwiązania</vt:lpstr>
      <vt:lpstr>    Zastosowane konstrukcje haskelowe</vt:lpstr>
      <vt:lpstr>    Uwagi o składni</vt:lpstr>
      <vt:lpstr>    Obsługa L-wartości</vt:lpstr>
    </vt:vector>
  </TitlesOfParts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Matusiak</dc:creator>
  <cp:keywords/>
  <dc:description/>
  <cp:lastModifiedBy>Aleksander Matusiak</cp:lastModifiedBy>
  <cp:revision>17</cp:revision>
  <dcterms:created xsi:type="dcterms:W3CDTF">2016-04-05T09:29:00Z</dcterms:created>
  <dcterms:modified xsi:type="dcterms:W3CDTF">2016-04-25T14:21:00Z</dcterms:modified>
</cp:coreProperties>
</file>