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rFonts w:cs="David" w:ascii="David" w:hAnsi="David" w:eastAsia="David"/>
          <w:sz w:val="20"/>
          <w:szCs w:val="20"/>
          <w:rtl w:val="1"/>
        </w:rPr>
        <w:t>אוניברסיטת בן-גוריון בנגב | הפקולטה למדעי ההנדסה | המחלקה להנדסת מכונות</w:t>
      </w:r>
    </w:p>
    <w:p>
      <w:pPr>
        <w:bidi w:val="1"/>
        <w:spacing w:after="120"/>
        <w:jc w:val="center"/>
      </w:pPr>
      <w:r>
        <w:rPr>
          <w:rFonts w:cs="David" w:ascii="David" w:hAnsi="David" w:eastAsia="David"/>
          <w:b/>
          <w:sz w:val="28"/>
          <w:szCs w:val="28"/>
          <w:bCs/>
          <w:rtl w:val="1"/>
        </w:rPr>
        <w:t>נספח א׳: שאלון אמון במערכות אוטומטיות (TiA-19)</w:t>
      </w:r>
    </w:p>
    <w:p>
      <w:pPr>
        <w:bidi w:val="1"/>
        <w:spacing w:after="120"/>
        <w:jc w:val="center"/>
      </w:pPr>
      <w:r>
        <w:rPr>
          <w:rFonts w:cs="David" w:ascii="David" w:hAnsi="David" w:eastAsia="David"/>
          <w:sz w:val="20"/>
          <w:szCs w:val="20"/>
          <w:rtl w:val="1"/>
        </w:rPr>
        <w:t>מחקר: שליטה משותפת מבוססת שיווי משקל של נאש למיזוג רכב אוטונומי בפלטון</w:t>
      </w:r>
    </w:p>
    <w:p>
      <w:pPr>
        <w:bidi w:val="1"/>
        <w:spacing w:before="240" w:after="120"/>
        <w:jc w:val="right"/>
      </w:pPr>
      <w:r>
        <w:rPr>
          <w:rFonts w:cs="David" w:ascii="David" w:hAnsi="David" w:eastAsia="David"/>
          <w:b/>
          <w:sz w:val="24"/>
          <w:szCs w:val="24"/>
          <w:bCs/>
          <w:rtl w:val="1"/>
        </w:rPr>
        <w:t>הוראות למשתתף:</w:t>
      </w:r>
    </w:p>
    <w:p>
      <w:pPr>
        <w:bidi w:val="1"/>
        <w:jc w:val="right"/>
      </w:pPr>
      <w:r>
        <w:rPr>
          <w:rFonts w:cs="David" w:ascii="David" w:hAnsi="David" w:eastAsia="David"/>
          <w:sz w:val="22"/>
          <w:szCs w:val="22"/>
          <w:rtl w:val="1"/>
        </w:rPr>
        <w:t>לפניך 19 היגדים על המערכת שבה נהגת. עבור כל היגד, סמן ✕ במשבצת המתאימה שמייצגת את מידת ההסכמה שלך עם ההיגד. הסקאלה נעה מ"מסכים בכלל לא" (1) ועד "מסכים לחלוטין" (5). אין תשובות נכונות או שגויות — אנו מעוניינים בדעתך האישית בלבד.</w:t>
      </w: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מזהה משתתף: _______________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מצב: _______________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תאריך: ___/___/______</w:t>
            </w:r>
          </w:p>
        </w:tc>
      </w:tr>
    </w:tbl>
    <w:p>
      <w:pPr>
        <w:bidi w:val="1"/>
        <w:jc w:val="right"/>
      </w:pPr>
      <w:r>
        <w:rPr>
          <w:rFonts w:cs="David" w:ascii="David" w:hAnsi="David" w:eastAsia="David"/>
          <w:sz w:val="16"/>
          <w:szCs w:val="16"/>
          <w:rtl w:val="1"/>
        </w:rPr>
      </w:r>
    </w:p>
    <w:tbl>
      <w:tblPr>
        <w:tblW w:type="auto" w:w="0"/>
        <w:tblLook w:firstColumn="1" w:firstRow="1" w:lastColumn="0" w:lastRow="0" w:noHBand="0" w:noVBand="1" w:val="04A0"/>
        <w:tblStyle w:val="TableGrid"/>
        <w:bidiVisual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454"/>
            <w:vAlign w:val="center"/>
            <w:shd w:fill="D9D9D9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b/>
                <w:sz w:val="20"/>
                <w:szCs w:val="20"/>
                <w:bCs/>
                <w:rtl w:val="1"/>
              </w:rPr>
              <w:t>#</w:t>
            </w:r>
          </w:p>
        </w:tc>
        <w:tc>
          <w:tcPr>
            <w:tcW w:type="dxa" w:w="4535"/>
            <w:vAlign w:val="center"/>
            <w:shd w:fill="D9D9D9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b/>
                <w:sz w:val="20"/>
                <w:szCs w:val="20"/>
                <w:bCs/>
                <w:rtl w:val="1"/>
              </w:rPr>
              <w:t>היגד</w:t>
            </w:r>
          </w:p>
        </w:tc>
        <w:tc>
          <w:tcPr>
            <w:tcW w:type="dxa" w:w="794"/>
            <w:vAlign w:val="center"/>
            <w:shd w:fill="D9D9D9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b/>
                <w:sz w:val="18"/>
                <w:szCs w:val="18"/>
                <w:bCs/>
                <w:rtl w:val="1"/>
              </w:rPr>
              <w:t>מסכים</w:t>
              <w:br/>
              <w:t>בכלל לא</w:t>
              <w:br/>
              <w:t>(1)</w:t>
            </w:r>
          </w:p>
        </w:tc>
        <w:tc>
          <w:tcPr>
            <w:tcW w:type="dxa" w:w="794"/>
            <w:vAlign w:val="center"/>
            <w:shd w:fill="D9D9D9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b/>
                <w:sz w:val="18"/>
                <w:szCs w:val="18"/>
                <w:bCs/>
                <w:rtl w:val="1"/>
              </w:rPr>
              <w:t>לא מסכים</w:t>
              <w:br/>
              <w:t>כל כך</w:t>
              <w:br/>
              <w:t>(2)</w:t>
            </w:r>
          </w:p>
        </w:tc>
        <w:tc>
          <w:tcPr>
            <w:tcW w:type="dxa" w:w="964"/>
            <w:vAlign w:val="center"/>
            <w:shd w:fill="D9D9D9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b/>
                <w:sz w:val="18"/>
                <w:szCs w:val="18"/>
                <w:bCs/>
                <w:rtl w:val="1"/>
              </w:rPr>
              <w:t>לא מסכים</w:t>
              <w:br/>
              <w:t>ולא לא מסכים</w:t>
              <w:br/>
              <w:t>(3)</w:t>
            </w:r>
          </w:p>
        </w:tc>
        <w:tc>
          <w:tcPr>
            <w:tcW w:type="dxa" w:w="794"/>
            <w:vAlign w:val="center"/>
            <w:shd w:fill="D9D9D9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b/>
                <w:sz w:val="18"/>
                <w:szCs w:val="18"/>
                <w:bCs/>
                <w:rtl w:val="1"/>
              </w:rPr>
              <w:t>מסכים</w:t>
              <w:br/>
              <w:t>בחלקו</w:t>
              <w:br/>
              <w:t>(4)</w:t>
            </w:r>
          </w:p>
        </w:tc>
        <w:tc>
          <w:tcPr>
            <w:tcW w:type="dxa" w:w="794"/>
            <w:vAlign w:val="center"/>
            <w:shd w:fill="D9D9D9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b/>
                <w:sz w:val="18"/>
                <w:szCs w:val="18"/>
                <w:bCs/>
                <w:rtl w:val="1"/>
              </w:rPr>
              <w:t>מסכים</w:t>
              <w:br/>
              <w:t>לחלוטין</w:t>
              <w:br/>
              <w:t>(5)</w:t>
            </w:r>
          </w:p>
        </w:tc>
        <w:tc>
          <w:tcPr>
            <w:tcW w:type="dxa" w:w="680"/>
            <w:vAlign w:val="center"/>
            <w:shd w:fill="D9D9D9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b/>
                <w:sz w:val="18"/>
                <w:szCs w:val="18"/>
                <w:bCs/>
                <w:rtl w:val="1"/>
              </w:rPr>
              <w:t>אין</w:t>
              <w:br/>
              <w:t>תשובה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המערכת יכולה לפרש מצבים באופן נכון.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2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מצב המערכת היה תמיד ברור לי.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3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אני מכיר כבר מערכות דומות.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4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המפתחים ראויים לאמון.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5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צריך להיזהר עם מערכות אוטומטיות לא מוכרות.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6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המערכת פועלת באופן אמין.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7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המערכת מגיבה באופן בלתי צפוי.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8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המפתחים לוקחים ברצינות את שלומי.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9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אני סומך על המערכת.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10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תקלה במערכת היא סבירה.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11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הצלחתי להבין מדוע דברים קורים.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12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אני נוטה יותר לסמוך על מערכת מאשר לא לסמוך עליה.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13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המערכת מסוגלת לקחת על עצמה משימות מורכבות.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14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אני יכול להסתמך על המערכת.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15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המערכת עלולה לעשות טעויות לפעמים.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16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קשה לזהות מה המערכת תעשה בהמשך.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17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כבר השתמשתי במערכות דומות.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18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מערכות אוטומטיות בדרך כלל פועלות היטב.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  <w:tr>
        <w:tc>
          <w:tcPr>
            <w:tcW w:type="dxa" w:w="45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19</w:t>
            </w:r>
          </w:p>
        </w:tc>
        <w:tc>
          <w:tcPr>
            <w:tcW w:type="dxa" w:w="4535"/>
            <w:vAlign w:val="center"/>
          </w:tcPr>
          <w:p>
            <w:pPr>
              <w:bidi w:val="1"/>
              <w:jc w:val="right"/>
            </w:pPr>
            <w:r/>
            <w:r>
              <w:rPr>
                <w:rFonts w:cs="David" w:ascii="David" w:hAnsi="David" w:eastAsia="David"/>
                <w:sz w:val="20"/>
                <w:szCs w:val="20"/>
                <w:rtl w:val="1"/>
              </w:rPr>
              <w:t>אני בטוח ביכולות של המערכת.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96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794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  <w:tc>
          <w:tcPr>
            <w:tcW w:type="dxa" w:w="680"/>
            <w:vAlign w:val="center"/>
          </w:tcPr>
          <w:p>
            <w:pPr>
              <w:bidi w:val="1"/>
              <w:jc w:val="center"/>
            </w:pPr>
            <w:r/>
            <w:r>
              <w:rPr>
                <w:rFonts w:cs="David" w:ascii="David" w:hAnsi="David" w:eastAsia="David"/>
                <w:sz w:val="28"/>
                <w:szCs w:val="28"/>
                <w:rtl w:val="1"/>
              </w:rPr>
              <w:t>☐</w:t>
            </w:r>
          </w:p>
        </w:tc>
      </w:tr>
    </w:tbl>
    <w:p>
      <w:pPr>
        <w:bidi w:val="1"/>
        <w:jc w:val="right"/>
      </w:pPr>
      <w:r>
        <w:rPr>
          <w:rFonts w:cs="David" w:ascii="David" w:hAnsi="David" w:eastAsia="David"/>
          <w:sz w:val="16"/>
          <w:szCs w:val="16"/>
          <w:rtl w:val="1"/>
        </w:rPr>
      </w:r>
    </w:p>
    <w:p>
      <w:pPr>
        <w:bidi w:val="1"/>
        <w:spacing w:before="240" w:after="120"/>
        <w:jc w:val="right"/>
      </w:pPr>
      <w:r>
        <w:rPr>
          <w:rFonts w:cs="David" w:ascii="David" w:hAnsi="David" w:eastAsia="David"/>
          <w:b/>
          <w:sz w:val="20"/>
          <w:szCs w:val="20"/>
          <w:bCs/>
          <w:rtl w:val="1"/>
        </w:rPr>
        <w:t>ניקוד (למחקר בלבד — לא למילוי על ידי המשתתף):</w:t>
      </w:r>
    </w:p>
    <w:p>
      <w:pPr>
        <w:bidi w:val="1"/>
        <w:jc w:val="right"/>
      </w:pPr>
      <w:r>
        <w:rPr>
          <w:rFonts w:cs="David" w:ascii="David" w:hAnsi="David" w:eastAsia="David"/>
          <w:sz w:val="18"/>
          <w:szCs w:val="18"/>
          <w:rtl w:val="1"/>
        </w:rPr>
        <w:t>השאלון מבוסס על Körber (2018) ומודד 6 מימדים:</w:t>
      </w:r>
    </w:p>
    <w:p>
      <w:pPr>
        <w:bidi w:val="1"/>
        <w:jc w:val="right"/>
      </w:pPr>
      <w:r>
        <w:rPr>
          <w:rFonts w:cs="David" w:ascii="David" w:hAnsi="David" w:eastAsia="David"/>
          <w:sz w:val="18"/>
          <w:szCs w:val="18"/>
          <w:rtl w:val="1"/>
        </w:rPr>
        <w:t>• מהימנות/יכולת (Reliability/Competence): פריטים 1, 6, 7*, 10*, 15*, 18</w:t>
      </w:r>
    </w:p>
    <w:p>
      <w:pPr>
        <w:bidi w:val="1"/>
        <w:jc w:val="right"/>
      </w:pPr>
      <w:r>
        <w:rPr>
          <w:rFonts w:cs="David" w:ascii="David" w:hAnsi="David" w:eastAsia="David"/>
          <w:sz w:val="18"/>
          <w:szCs w:val="18"/>
          <w:rtl w:val="1"/>
        </w:rPr>
        <w:t>• מובנות/צפיוּת (Understandability/Predictability): פריטים 2, 11, 16*</w:t>
      </w:r>
    </w:p>
    <w:p>
      <w:pPr>
        <w:bidi w:val="1"/>
        <w:jc w:val="right"/>
      </w:pPr>
      <w:r>
        <w:rPr>
          <w:rFonts w:cs="David" w:ascii="David" w:hAnsi="David" w:eastAsia="David"/>
          <w:sz w:val="18"/>
          <w:szCs w:val="18"/>
          <w:rtl w:val="1"/>
        </w:rPr>
        <w:t>• נטייה לסמוך על אוטומציה (Propensity to Trust): פריטים 5*, 12</w:t>
      </w:r>
    </w:p>
    <w:p>
      <w:pPr>
        <w:bidi w:val="1"/>
        <w:jc w:val="right"/>
      </w:pPr>
      <w:r>
        <w:rPr>
          <w:rFonts w:cs="David" w:ascii="David" w:hAnsi="David" w:eastAsia="David"/>
          <w:sz w:val="18"/>
          <w:szCs w:val="18"/>
          <w:rtl w:val="1"/>
        </w:rPr>
        <w:t>• כוונות המפתחים (Intention of Developers): פריטים 4, 8</w:t>
      </w:r>
    </w:p>
    <w:p>
      <w:pPr>
        <w:bidi w:val="1"/>
        <w:jc w:val="right"/>
      </w:pPr>
      <w:r>
        <w:rPr>
          <w:rFonts w:cs="David" w:ascii="David" w:hAnsi="David" w:eastAsia="David"/>
          <w:sz w:val="18"/>
          <w:szCs w:val="18"/>
          <w:rtl w:val="1"/>
        </w:rPr>
        <w:t>• היכרות (Familiarity): פריטים 3, 17</w:t>
      </w:r>
    </w:p>
    <w:p>
      <w:pPr>
        <w:bidi w:val="1"/>
        <w:jc w:val="right"/>
      </w:pPr>
      <w:r>
        <w:rPr>
          <w:rFonts w:cs="David" w:ascii="David" w:hAnsi="David" w:eastAsia="David"/>
          <w:sz w:val="18"/>
          <w:szCs w:val="18"/>
          <w:rtl w:val="1"/>
        </w:rPr>
        <w:t>• אמון במערכת (Trust in Automation): פריטים 9, 13, 14, 19</w:t>
      </w:r>
    </w:p>
    <w:p>
      <w:pPr>
        <w:bidi w:val="1"/>
        <w:jc w:val="right"/>
      </w:pPr>
      <w:r>
        <w:rPr>
          <w:rFonts w:cs="David" w:ascii="David" w:hAnsi="David" w:eastAsia="David"/>
          <w:sz w:val="18"/>
          <w:szCs w:val="18"/>
          <w:rtl w:val="1"/>
        </w:rPr>
        <w:t>* פריטים מהופכים (Reversed): יש להפוך את הסקאלה לפני חישוב (6 - x).</w:t>
      </w:r>
    </w:p>
    <w:p>
      <w:pPr>
        <w:bidi w:val="1"/>
        <w:jc w:val="center"/>
      </w:pPr>
      <w:r>
        <w:rPr>
          <w:rFonts w:cs="David" w:ascii="David" w:hAnsi="David" w:eastAsia="David"/>
          <w:sz w:val="18"/>
          <w:szCs w:val="18"/>
          <w:rtl w:val="1"/>
        </w:rPr>
        <w:t>Körber, M. (2018). Theoretical Considerations and Development of a Questionnaire to Measure Trust in Automation.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