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cs="David" w:ascii="David" w:hAnsi="David" w:eastAsia="David"/>
          <w:sz w:val="20"/>
          <w:szCs w:val="20"/>
          <w:rtl w:val="1"/>
        </w:rPr>
        <w:t>אוניברסיטת בן-גוריון בנגב | הפקולטה למדעי ההנדסה | המחלקה להנדסת מכונות</w:t>
      </w:r>
    </w:p>
    <w:p>
      <w:pPr>
        <w:bidi w:val="1"/>
        <w:spacing w:after="120"/>
        <w:jc w:val="center"/>
      </w:pPr>
      <w:r>
        <w:rPr>
          <w:rFonts w:cs="David" w:ascii="David" w:hAnsi="David" w:eastAsia="David"/>
          <w:b/>
          <w:sz w:val="28"/>
          <w:szCs w:val="28"/>
          <w:bCs/>
          <w:rtl w:val="1"/>
        </w:rPr>
        <w:t>נספח ד׳: שאלון סיקנס סימולטור (Kennedy SSQ)</w:t>
      </w:r>
    </w:p>
    <w:p>
      <w:pPr>
        <w:bidi w:val="1"/>
        <w:spacing w:after="120"/>
        <w:jc w:val="center"/>
      </w:pPr>
      <w:r>
        <w:rPr>
          <w:rFonts w:cs="David" w:ascii="David" w:hAnsi="David" w:eastAsia="David"/>
          <w:sz w:val="20"/>
          <w:szCs w:val="20"/>
          <w:rtl w:val="1"/>
        </w:rPr>
        <w:t>מחקר: שליטה משותפת מבוססת שיווי משקל של נאש למיזוג רכב אוטונומי בפלטון</w:t>
      </w:r>
    </w:p>
    <w:p>
      <w:pPr>
        <w:bidi w:val="1"/>
        <w:spacing w:before="240" w:after="120"/>
        <w:jc w:val="right"/>
      </w:pPr>
      <w:r>
        <w:rPr>
          <w:rFonts w:cs="David" w:ascii="David" w:hAnsi="David" w:eastAsia="David"/>
          <w:b/>
          <w:sz w:val="24"/>
          <w:szCs w:val="24"/>
          <w:bCs/>
          <w:rtl w:val="1"/>
        </w:rPr>
        <w:t>הוראות למשתתף:</w:t>
      </w:r>
    </w:p>
    <w:p>
      <w:pPr>
        <w:bidi w:val="1"/>
        <w:jc w:val="right"/>
      </w:pPr>
      <w:r>
        <w:rPr>
          <w:rFonts w:cs="David" w:ascii="David" w:hAnsi="David" w:eastAsia="David"/>
          <w:sz w:val="22"/>
          <w:szCs w:val="22"/>
          <w:rtl w:val="1"/>
        </w:rPr>
        <w:t>לפניך רשימה של 16 סימפטומים אפשריים. עבור כל סימפטום, סמן ✕ במשבצת שהכי מתארת את מידת התחושה שלך כרגע. אין תשובות נכונות או שגויות — דווח בכנות על מה שאתה מרגיש.</w:t>
      </w:r>
    </w:p>
    <w:tbl>
      <w:tblPr>
        <w:tblW w:type="auto" w:w="0"/>
        <w:tblLook w:firstColumn="1" w:firstRow="1" w:lastColumn="0" w:lastRow="0" w:noHBand="0" w:noVBand="1" w:val="04A0"/>
        <w:bidiVisual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מזהה משתתף: _______________</w:t>
            </w:r>
          </w:p>
        </w:tc>
        <w:tc>
          <w:tcPr>
            <w:tcW w:type="dxa" w:w="3213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מצב: _______________</w:t>
            </w:r>
          </w:p>
        </w:tc>
        <w:tc>
          <w:tcPr>
            <w:tcW w:type="dxa" w:w="3213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תאריך: ___/___/______</w:t>
            </w:r>
          </w:p>
        </w:tc>
      </w:tr>
    </w:tbl>
    <w:p>
      <w:pPr>
        <w:bidi w:val="1"/>
        <w:jc w:val="right"/>
      </w:pPr>
      <w:r>
        <w:rPr>
          <w:rFonts w:cs="David" w:ascii="David" w:hAnsi="David" w:eastAsia="David"/>
          <w:sz w:val="16"/>
          <w:szCs w:val="16"/>
          <w:rtl w:val="1"/>
        </w:rPr>
      </w:r>
    </w:p>
    <w:p>
      <w:pPr>
        <w:bidi w:val="1"/>
        <w:jc w:val="right"/>
      </w:pPr>
      <w:r>
        <w:rPr>
          <w:rFonts w:cs="David" w:ascii="David" w:hAnsi="David" w:eastAsia="David"/>
          <w:b/>
          <w:sz w:val="20"/>
          <w:szCs w:val="20"/>
          <w:bCs/>
          <w:rtl w:val="1"/>
        </w:rPr>
        <w:t>זמן מילוי: ☐ לפני הסבב  ☐ באמצע הסבבים  ☐ בסוף הסשן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45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#</w:t>
            </w:r>
          </w:p>
        </w:tc>
        <w:tc>
          <w:tcPr>
            <w:tcW w:type="dxa" w:w="5386"/>
            <w:vAlign w:val="center"/>
            <w:shd w:fill="D9D9D9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סימפטום</w:t>
            </w:r>
          </w:p>
        </w:tc>
        <w:tc>
          <w:tcPr>
            <w:tcW w:type="dxa" w:w="1020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ללא</w:t>
              <w:br/>
              <w:t>(0)</w:t>
            </w:r>
          </w:p>
        </w:tc>
        <w:tc>
          <w:tcPr>
            <w:tcW w:type="dxa" w:w="1020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קל</w:t>
              <w:br/>
              <w:t>(1)</w:t>
            </w:r>
          </w:p>
        </w:tc>
        <w:tc>
          <w:tcPr>
            <w:tcW w:type="dxa" w:w="1020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בינוני</w:t>
              <w:br/>
              <w:t>(2)</w:t>
            </w:r>
          </w:p>
        </w:tc>
        <w:tc>
          <w:tcPr>
            <w:tcW w:type="dxa" w:w="1020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חמור</w:t>
              <w:br/>
              <w:t>(3)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אי-נוחות כללית (General discomfort)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2</w:t>
            </w:r>
          </w:p>
        </w:tc>
        <w:tc>
          <w:tcPr>
            <w:tcW w:type="dxa" w:w="5386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עייפות (Fatigue)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3</w:t>
            </w:r>
          </w:p>
        </w:tc>
        <w:tc>
          <w:tcPr>
            <w:tcW w:type="dxa" w:w="5386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כאב ראש (Headache)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4</w:t>
            </w:r>
          </w:p>
        </w:tc>
        <w:tc>
          <w:tcPr>
            <w:tcW w:type="dxa" w:w="5386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מאמץ עיניים (Eyestrain)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5</w:t>
            </w:r>
          </w:p>
        </w:tc>
        <w:tc>
          <w:tcPr>
            <w:tcW w:type="dxa" w:w="5386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קושי במיקוד ראייה (Difficulty focusing)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6</w:t>
            </w:r>
          </w:p>
        </w:tc>
        <w:tc>
          <w:tcPr>
            <w:tcW w:type="dxa" w:w="5386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ריור מוגבר (Increased salivation)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7</w:t>
            </w:r>
          </w:p>
        </w:tc>
        <w:tc>
          <w:tcPr>
            <w:tcW w:type="dxa" w:w="5386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הזעה (Sweating)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8</w:t>
            </w:r>
          </w:p>
        </w:tc>
        <w:tc>
          <w:tcPr>
            <w:tcW w:type="dxa" w:w="5386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בחילה (Nausea)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9</w:t>
            </w:r>
          </w:p>
        </w:tc>
        <w:tc>
          <w:tcPr>
            <w:tcW w:type="dxa" w:w="5386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קושי בריכוז (Difficulty concentrating)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10</w:t>
            </w:r>
          </w:p>
        </w:tc>
        <w:tc>
          <w:tcPr>
            <w:tcW w:type="dxa" w:w="5386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תחושת מלאות בראש (Fullness of head)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11</w:t>
            </w:r>
          </w:p>
        </w:tc>
        <w:tc>
          <w:tcPr>
            <w:tcW w:type="dxa" w:w="5386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ראייה מטושטשת (Blurred vision)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12</w:t>
            </w:r>
          </w:p>
        </w:tc>
        <w:tc>
          <w:tcPr>
            <w:tcW w:type="dxa" w:w="5386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סחרחורת עם עיניים פתוחות (Dizzy — eyes open)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13</w:t>
            </w:r>
          </w:p>
        </w:tc>
        <w:tc>
          <w:tcPr>
            <w:tcW w:type="dxa" w:w="5386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סחרחורת עם עיניים סגורות (Dizzy — eyes closed)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14</w:t>
            </w:r>
          </w:p>
        </w:tc>
        <w:tc>
          <w:tcPr>
            <w:tcW w:type="dxa" w:w="5386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ורטיגו / תחושת סיבוב (Vertigo)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15</w:t>
            </w:r>
          </w:p>
        </w:tc>
        <w:tc>
          <w:tcPr>
            <w:tcW w:type="dxa" w:w="5386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תחושה בקיבה (Stomach awareness)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16</w:t>
            </w:r>
          </w:p>
        </w:tc>
        <w:tc>
          <w:tcPr>
            <w:tcW w:type="dxa" w:w="5386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גיהוקים (Burping)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</w:tbl>
    <w:p>
      <w:pPr>
        <w:bidi w:val="1"/>
        <w:jc w:val="right"/>
      </w:pPr>
      <w:r>
        <w:rPr>
          <w:rFonts w:cs="David" w:ascii="David" w:hAnsi="David" w:eastAsia="David"/>
          <w:sz w:val="16"/>
          <w:szCs w:val="16"/>
          <w:rtl w:val="1"/>
        </w:rPr>
      </w:r>
    </w:p>
    <w:p>
      <w:pPr>
        <w:bidi w:val="1"/>
        <w:spacing w:before="240" w:after="120"/>
        <w:jc w:val="right"/>
      </w:pPr>
      <w:r>
        <w:rPr>
          <w:rFonts w:cs="David" w:ascii="David" w:hAnsi="David" w:eastAsia="David"/>
          <w:b/>
          <w:sz w:val="20"/>
          <w:szCs w:val="20"/>
          <w:bCs/>
          <w:rtl w:val="1"/>
        </w:rPr>
        <w:t>חישוב ניקוד (למחקר בלבד):</w:t>
      </w:r>
    </w:p>
    <w:p>
      <w:pPr>
        <w:bidi w:val="1"/>
        <w:jc w:val="right"/>
      </w:pPr>
      <w:r>
        <w:rPr>
          <w:rFonts w:cs="David" w:ascii="David" w:hAnsi="David" w:eastAsia="David"/>
          <w:sz w:val="18"/>
          <w:szCs w:val="18"/>
          <w:rtl w:val="1"/>
        </w:rPr>
        <w:t>כל סימפטום מקבל משקל של 1 בתת-סולם/סולמות המתאימים: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5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8"/>
                <w:szCs w:val="18"/>
                <w:bCs/>
                <w:rtl w:val="1"/>
              </w:rPr>
              <w:t>#</w:t>
            </w:r>
          </w:p>
        </w:tc>
        <w:tc>
          <w:tcPr>
            <w:tcW w:type="dxa" w:w="3685"/>
            <w:vAlign w:val="center"/>
            <w:shd w:fill="D9D9D9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b/>
                <w:sz w:val="18"/>
                <w:szCs w:val="18"/>
                <w:bCs/>
                <w:rtl w:val="1"/>
              </w:rPr>
              <w:t>סימפטום</w:t>
            </w:r>
          </w:p>
        </w:tc>
        <w:tc>
          <w:tcPr>
            <w:tcW w:type="dxa" w:w="850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8"/>
                <w:szCs w:val="18"/>
                <w:bCs/>
                <w:rtl w:val="1"/>
              </w:rPr>
              <w:t>N</w:t>
            </w:r>
          </w:p>
        </w:tc>
        <w:tc>
          <w:tcPr>
            <w:tcW w:type="dxa" w:w="850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8"/>
                <w:szCs w:val="18"/>
                <w:bCs/>
                <w:rtl w:val="1"/>
              </w:rPr>
              <w:t>O</w:t>
            </w:r>
          </w:p>
        </w:tc>
        <w:tc>
          <w:tcPr>
            <w:tcW w:type="dxa" w:w="850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8"/>
                <w:szCs w:val="18"/>
                <w:bCs/>
                <w:rtl w:val="1"/>
              </w:rPr>
              <w:t>D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1</w:t>
            </w:r>
          </w:p>
        </w:tc>
        <w:tc>
          <w:tcPr>
            <w:tcW w:type="dxa" w:w="3685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אי-נוחות כללית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✓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✓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2</w:t>
            </w:r>
          </w:p>
        </w:tc>
        <w:tc>
          <w:tcPr>
            <w:tcW w:type="dxa" w:w="3685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עייפות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✓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3</w:t>
            </w:r>
          </w:p>
        </w:tc>
        <w:tc>
          <w:tcPr>
            <w:tcW w:type="dxa" w:w="3685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כאב ראש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✓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4</w:t>
            </w:r>
          </w:p>
        </w:tc>
        <w:tc>
          <w:tcPr>
            <w:tcW w:type="dxa" w:w="3685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מאמץ עיניים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✓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5</w:t>
            </w:r>
          </w:p>
        </w:tc>
        <w:tc>
          <w:tcPr>
            <w:tcW w:type="dxa" w:w="3685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קושי במיקוד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✓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✓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6</w:t>
            </w:r>
          </w:p>
        </w:tc>
        <w:tc>
          <w:tcPr>
            <w:tcW w:type="dxa" w:w="3685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ריור מוגבר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✓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7</w:t>
            </w:r>
          </w:p>
        </w:tc>
        <w:tc>
          <w:tcPr>
            <w:tcW w:type="dxa" w:w="3685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הזעה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✓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8</w:t>
            </w:r>
          </w:p>
        </w:tc>
        <w:tc>
          <w:tcPr>
            <w:tcW w:type="dxa" w:w="3685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בחילה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✓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✓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9</w:t>
            </w:r>
          </w:p>
        </w:tc>
        <w:tc>
          <w:tcPr>
            <w:tcW w:type="dxa" w:w="3685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קושי בריכוז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✓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✓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10</w:t>
            </w:r>
          </w:p>
        </w:tc>
        <w:tc>
          <w:tcPr>
            <w:tcW w:type="dxa" w:w="3685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תחושת מלאות בראש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✓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11</w:t>
            </w:r>
          </w:p>
        </w:tc>
        <w:tc>
          <w:tcPr>
            <w:tcW w:type="dxa" w:w="3685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ראייה מטושטשת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✓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✓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12</w:t>
            </w:r>
          </w:p>
        </w:tc>
        <w:tc>
          <w:tcPr>
            <w:tcW w:type="dxa" w:w="3685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סחרחורת עיניים פתוחות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✓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13</w:t>
            </w:r>
          </w:p>
        </w:tc>
        <w:tc>
          <w:tcPr>
            <w:tcW w:type="dxa" w:w="3685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סחרחורת עיניים סגורות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✓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14</w:t>
            </w:r>
          </w:p>
        </w:tc>
        <w:tc>
          <w:tcPr>
            <w:tcW w:type="dxa" w:w="3685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ורטיגו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✓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15</w:t>
            </w:r>
          </w:p>
        </w:tc>
        <w:tc>
          <w:tcPr>
            <w:tcW w:type="dxa" w:w="3685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תחושה בקיבה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✓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16</w:t>
            </w:r>
          </w:p>
        </w:tc>
        <w:tc>
          <w:tcPr>
            <w:tcW w:type="dxa" w:w="3685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גיהוקים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  <w:t>✓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18"/>
                <w:szCs w:val="18"/>
                <w:rtl w:val="1"/>
              </w:rPr>
            </w:r>
          </w:p>
        </w:tc>
      </w:tr>
    </w:tbl>
    <w:p>
      <w:pPr>
        <w:bidi w:val="1"/>
        <w:jc w:val="right"/>
      </w:pPr>
      <w:r>
        <w:rPr>
          <w:rFonts w:cs="David" w:ascii="David" w:hAnsi="David" w:eastAsia="David"/>
          <w:sz w:val="12"/>
          <w:szCs w:val="12"/>
          <w:rtl w:val="1"/>
        </w:rPr>
      </w:r>
    </w:p>
    <w:p>
      <w:pPr>
        <w:bidi w:val="1"/>
        <w:jc w:val="right"/>
      </w:pPr>
      <w:r>
        <w:rPr>
          <w:rFonts w:cs="David" w:ascii="David" w:hAnsi="David" w:eastAsia="David"/>
          <w:b/>
          <w:sz w:val="20"/>
          <w:szCs w:val="20"/>
          <w:bCs/>
          <w:rtl w:val="1"/>
        </w:rPr>
        <w:t>נוסחאות חישוב:</w:t>
      </w:r>
    </w:p>
    <w:p>
      <w:pPr>
        <w:bidi w:val="1"/>
        <w:jc w:val="right"/>
      </w:pPr>
      <w:r>
        <w:rPr>
          <w:rFonts w:cs="David" w:ascii="David" w:hAnsi="David" w:eastAsia="David"/>
          <w:sz w:val="18"/>
          <w:szCs w:val="18"/>
          <w:rtl w:val="1"/>
        </w:rPr>
        <w:t>• Nausea (N) = סכום פריטי N × 9.54</w:t>
      </w:r>
    </w:p>
    <w:p>
      <w:pPr>
        <w:bidi w:val="1"/>
        <w:jc w:val="right"/>
      </w:pPr>
      <w:r>
        <w:rPr>
          <w:rFonts w:cs="David" w:ascii="David" w:hAnsi="David" w:eastAsia="David"/>
          <w:sz w:val="18"/>
          <w:szCs w:val="18"/>
          <w:rtl w:val="1"/>
        </w:rPr>
        <w:t>• Oculomotor (O) = סכום פריטי O × 7.58</w:t>
      </w:r>
    </w:p>
    <w:p>
      <w:pPr>
        <w:bidi w:val="1"/>
        <w:jc w:val="right"/>
      </w:pPr>
      <w:r>
        <w:rPr>
          <w:rFonts w:cs="David" w:ascii="David" w:hAnsi="David" w:eastAsia="David"/>
          <w:sz w:val="18"/>
          <w:szCs w:val="18"/>
          <w:rtl w:val="1"/>
        </w:rPr>
        <w:t>• Disorientation (D) = סכום פריטי D × 13.92</w:t>
      </w:r>
    </w:p>
    <w:p>
      <w:pPr>
        <w:bidi w:val="1"/>
        <w:jc w:val="right"/>
      </w:pPr>
      <w:r>
        <w:rPr>
          <w:rFonts w:cs="David" w:ascii="David" w:hAnsi="David" w:eastAsia="David"/>
          <w:sz w:val="18"/>
          <w:szCs w:val="18"/>
          <w:rtl w:val="1"/>
        </w:rPr>
        <w:t>• Total Severity (TS) = (סכום N + O + D לפני הכפלה) × 3.74</w:t>
      </w:r>
    </w:p>
    <w:p>
      <w:pPr>
        <w:bidi w:val="1"/>
        <w:jc w:val="right"/>
      </w:pPr>
      <w:r>
        <w:rPr>
          <w:rFonts w:cs="David" w:ascii="David" w:hAnsi="David" w:eastAsia="David"/>
          <w:b/>
          <w:sz w:val="18"/>
          <w:szCs w:val="18"/>
          <w:bCs/>
          <w:rtl w:val="1"/>
        </w:rPr>
        <w:t>ציון TS &gt; 15 = בעיה אפשרית. ציון TS &gt; 30 = חמור, יש לשקול הפסקת הסשן.</w:t>
      </w:r>
    </w:p>
    <w:p>
      <w:pPr>
        <w:bidi w:val="1"/>
        <w:jc w:val="center"/>
      </w:pPr>
      <w:r>
        <w:rPr>
          <w:rFonts w:cs="David" w:ascii="David" w:hAnsi="David" w:eastAsia="David"/>
          <w:sz w:val="18"/>
          <w:szCs w:val="18"/>
          <w:rtl w:val="1"/>
        </w:rPr>
        <w:t>Kennedy, R. S., Lane, N. E., Berbaum, K. S., &amp; Lilienthal, M. G. (1993). International Journal of Aviation Psychology, 3(3), 203-220.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