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cs="David" w:ascii="David" w:hAnsi="David" w:eastAsia="David"/>
          <w:sz w:val="20"/>
          <w:szCs w:val="20"/>
          <w:rtl w:val="1"/>
        </w:rPr>
        <w:t>אוניברסיטת בן-גוריון בנגב | הפקולטה למדעי ההנדסה | המחלקה להנדסת מכונות</w:t>
      </w:r>
    </w:p>
    <w:p>
      <w:pPr>
        <w:bidi w:val="1"/>
        <w:spacing w:after="120"/>
        <w:jc w:val="center"/>
      </w:pPr>
      <w:r>
        <w:rPr>
          <w:rFonts w:cs="David" w:ascii="David" w:hAnsi="David" w:eastAsia="David"/>
          <w:b/>
          <w:sz w:val="28"/>
          <w:szCs w:val="28"/>
          <w:bCs/>
          <w:rtl w:val="1"/>
        </w:rPr>
        <w:t>נספח ה׳: שאלון קבלת מערכות (Van der Laan Acceptance Scale)</w:t>
      </w:r>
    </w:p>
    <w:p>
      <w:pPr>
        <w:bidi w:val="1"/>
        <w:spacing w:after="120"/>
        <w:jc w:val="center"/>
      </w:pPr>
      <w:r>
        <w:rPr>
          <w:rFonts w:cs="David" w:ascii="David" w:hAnsi="David" w:eastAsia="David"/>
          <w:sz w:val="20"/>
          <w:szCs w:val="20"/>
          <w:rtl w:val="1"/>
        </w:rPr>
        <w:t>מחקר: שליטה משותפת מבוססת שיווי משקל של נאש למיזוג רכב אוטונומי בפלטון</w:t>
      </w:r>
    </w:p>
    <w:p>
      <w:pPr>
        <w:bidi w:val="1"/>
        <w:spacing w:before="240" w:after="120"/>
        <w:jc w:val="right"/>
      </w:pPr>
      <w:r>
        <w:rPr>
          <w:rFonts w:cs="David" w:ascii="David" w:hAnsi="David" w:eastAsia="David"/>
          <w:b/>
          <w:sz w:val="24"/>
          <w:szCs w:val="24"/>
          <w:bCs/>
          <w:rtl w:val="1"/>
        </w:rPr>
        <w:t>הוראות למשתתף:</w:t>
      </w:r>
    </w:p>
    <w:p>
      <w:pPr>
        <w:bidi w:val="1"/>
        <w:jc w:val="right"/>
      </w:pPr>
      <w:r>
        <w:rPr>
          <w:rFonts w:cs="David" w:ascii="David" w:hAnsi="David" w:eastAsia="David"/>
          <w:sz w:val="22"/>
          <w:szCs w:val="22"/>
          <w:rtl w:val="1"/>
        </w:rPr>
        <w:t>לפניך 9 שורות, כל אחת מציגה שני תיאורים הפוכים של המערכת בה נהגת. בכל שורה, סמן ✕ באחת מ-5 המשבצות שבין שני התיאורים, בהתאם למידה שבה התיאור מתאים לחוויה שלך. משבצת שמאלית = התיאור השמאלי מתאים חזק, משבצת ימנית = התיאור הימני מתאים חזק, משבצת אמצעית = ניטרלי.</w:t>
      </w:r>
    </w:p>
    <w:tbl>
      <w:tblPr>
        <w:tblW w:type="auto" w:w="0"/>
        <w:tblLook w:firstColumn="1" w:firstRow="1" w:lastColumn="0" w:lastRow="0" w:noHBand="0" w:noVBand="1" w:val="04A0"/>
        <w:bidiVisual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מזהה משתתף: _______________</w:t>
            </w:r>
          </w:p>
        </w:tc>
        <w:tc>
          <w:tcPr>
            <w:tcW w:type="dxa" w:w="3213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מצב: _______________</w:t>
            </w:r>
          </w:p>
        </w:tc>
        <w:tc>
          <w:tcPr>
            <w:tcW w:type="dxa" w:w="3213"/>
            <w:vAlign w:val="center"/>
          </w:tcPr>
          <w:p>
            <w:pPr>
              <w:bidi w:val="1"/>
              <w:jc w:val="right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תאריך: ___/___/______</w:t>
            </w:r>
          </w:p>
        </w:tc>
      </w:tr>
    </w:tbl>
    <w:p>
      <w:pPr>
        <w:bidi w:val="1"/>
        <w:jc w:val="right"/>
      </w:pPr>
      <w:r>
        <w:rPr>
          <w:rFonts w:cs="David" w:ascii="David" w:hAnsi="David" w:eastAsia="David"/>
          <w:sz w:val="16"/>
          <w:szCs w:val="16"/>
          <w:rtl w:val="1"/>
        </w:rPr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45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#</w:t>
            </w:r>
          </w:p>
        </w:tc>
        <w:tc>
          <w:tcPr>
            <w:tcW w:type="dxa" w:w="215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תיאור ימני</w:t>
            </w:r>
          </w:p>
        </w:tc>
        <w:tc>
          <w:tcPr>
            <w:tcW w:type="dxa" w:w="79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+2</w:t>
            </w:r>
          </w:p>
        </w:tc>
        <w:tc>
          <w:tcPr>
            <w:tcW w:type="dxa" w:w="79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+1</w:t>
            </w:r>
          </w:p>
        </w:tc>
        <w:tc>
          <w:tcPr>
            <w:tcW w:type="dxa" w:w="79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0</w:t>
            </w:r>
          </w:p>
        </w:tc>
        <w:tc>
          <w:tcPr>
            <w:tcW w:type="dxa" w:w="79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−1</w:t>
            </w:r>
          </w:p>
        </w:tc>
        <w:tc>
          <w:tcPr>
            <w:tcW w:type="dxa" w:w="79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−2</w:t>
            </w:r>
          </w:p>
        </w:tc>
        <w:tc>
          <w:tcPr>
            <w:tcW w:type="dxa" w:w="2154"/>
            <w:vAlign w:val="center"/>
            <w:shd w:fill="D9D9D9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תיאור שמאלי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שימושי</w:t>
              <w:br/>
              <w:t>(Useful)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21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חסר תועלת</w:t>
              <w:br/>
              <w:t>(Useless)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2</w:t>
            </w:r>
          </w:p>
        </w:tc>
        <w:tc>
          <w:tcPr>
            <w:tcW w:type="dxa" w:w="21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נעים</w:t>
              <w:br/>
              <w:t>(Pleasant)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21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לא נעים</w:t>
              <w:br/>
              <w:t>(Unpleasant)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3 ⚠</w:t>
            </w:r>
          </w:p>
        </w:tc>
        <w:tc>
          <w:tcPr>
            <w:tcW w:type="dxa" w:w="21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רע</w:t>
              <w:br/>
              <w:t>(Bad)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21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טוב</w:t>
              <w:br/>
              <w:t>(Good)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4</w:t>
            </w:r>
          </w:p>
        </w:tc>
        <w:tc>
          <w:tcPr>
            <w:tcW w:type="dxa" w:w="21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יפה</w:t>
              <w:br/>
              <w:t>(Nice)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21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מעצבן</w:t>
              <w:br/>
              <w:t>(Annoying)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5</w:t>
            </w:r>
          </w:p>
        </w:tc>
        <w:tc>
          <w:tcPr>
            <w:tcW w:type="dxa" w:w="21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יעיל</w:t>
              <w:br/>
              <w:t>(Effective)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21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מיותר</w:t>
              <w:br/>
              <w:t>(Superfluous)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6 ⚠</w:t>
            </w:r>
          </w:p>
        </w:tc>
        <w:tc>
          <w:tcPr>
            <w:tcW w:type="dxa" w:w="21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מרגיז</w:t>
              <w:br/>
              <w:t>(Irritating)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21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חביב</w:t>
              <w:br/>
              <w:t>(Likeable)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7</w:t>
            </w:r>
          </w:p>
        </w:tc>
        <w:tc>
          <w:tcPr>
            <w:tcW w:type="dxa" w:w="21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מסייע</w:t>
              <w:br/>
              <w:t>(Assisting)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21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חסר ערך</w:t>
              <w:br/>
              <w:t>(Worthless)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8 ⚠</w:t>
            </w:r>
          </w:p>
        </w:tc>
        <w:tc>
          <w:tcPr>
            <w:tcW w:type="dxa" w:w="21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לא רצוי</w:t>
              <w:br/>
              <w:t>(Undesirable)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21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רצוי</w:t>
              <w:br/>
              <w:t>(Desirable)</w:t>
            </w:r>
          </w:p>
        </w:tc>
      </w:tr>
      <w:tr>
        <w:tc>
          <w:tcPr>
            <w:tcW w:type="dxa" w:w="4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b/>
                <w:sz w:val="20"/>
                <w:szCs w:val="20"/>
                <w:bCs/>
                <w:rtl w:val="1"/>
              </w:rPr>
              <w:t>9</w:t>
            </w:r>
          </w:p>
        </w:tc>
        <w:tc>
          <w:tcPr>
            <w:tcW w:type="dxa" w:w="21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מעורר ערנות</w:t>
              <w:br/>
              <w:t>(Alerting)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8"/>
                <w:szCs w:val="28"/>
                <w:rtl w:val="1"/>
              </w:rPr>
              <w:t>☐</w:t>
            </w:r>
          </w:p>
        </w:tc>
        <w:tc>
          <w:tcPr>
            <w:tcW w:type="dxa" w:w="2154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David" w:ascii="David" w:hAnsi="David" w:eastAsia="David"/>
                <w:sz w:val="20"/>
                <w:szCs w:val="20"/>
                <w:rtl w:val="1"/>
              </w:rPr>
              <w:t>מרדים</w:t>
              <w:br/>
              <w:t>(Sleep-inducing)</w:t>
            </w:r>
          </w:p>
        </w:tc>
      </w:tr>
    </w:tbl>
    <w:p>
      <w:pPr>
        <w:bidi w:val="1"/>
        <w:jc w:val="right"/>
      </w:pPr>
      <w:r>
        <w:rPr>
          <w:rFonts w:cs="David" w:ascii="David" w:hAnsi="David" w:eastAsia="David"/>
          <w:sz w:val="16"/>
          <w:szCs w:val="16"/>
          <w:rtl w:val="1"/>
        </w:rPr>
      </w:r>
    </w:p>
    <w:p>
      <w:pPr>
        <w:bidi w:val="1"/>
        <w:spacing w:before="240" w:after="120"/>
        <w:jc w:val="right"/>
      </w:pPr>
      <w:r>
        <w:rPr>
          <w:rFonts w:cs="David" w:ascii="David" w:hAnsi="David" w:eastAsia="David"/>
          <w:b/>
          <w:sz w:val="20"/>
          <w:szCs w:val="20"/>
          <w:bCs/>
          <w:rtl w:val="1"/>
        </w:rPr>
        <w:t>חישוב ניקוד (למחקר בלבד):</w:t>
      </w:r>
    </w:p>
    <w:p>
      <w:pPr>
        <w:bidi w:val="1"/>
        <w:jc w:val="right"/>
      </w:pPr>
      <w:r>
        <w:rPr>
          <w:rFonts w:cs="David" w:ascii="David" w:hAnsi="David" w:eastAsia="David"/>
          <w:sz w:val="20"/>
          <w:szCs w:val="20"/>
          <w:rtl w:val="1"/>
        </w:rPr>
        <w:t>הסקאלה מודדת שני מימדים:</w:t>
      </w:r>
    </w:p>
    <w:p>
      <w:pPr>
        <w:bidi w:val="1"/>
        <w:jc w:val="right"/>
      </w:pPr>
      <w:r>
        <w:rPr>
          <w:rFonts w:cs="David" w:ascii="David" w:hAnsi="David" w:eastAsia="David"/>
          <w:sz w:val="18"/>
          <w:szCs w:val="18"/>
          <w:rtl w:val="1"/>
        </w:rPr>
        <w:t>• שימושיות (Usefulness) = ממוצע של פריטים 1, 3, 5, 7, 9 (טווח: −2 עד +2)</w:t>
      </w:r>
    </w:p>
    <w:p>
      <w:pPr>
        <w:bidi w:val="1"/>
        <w:jc w:val="right"/>
      </w:pPr>
      <w:r>
        <w:rPr>
          <w:rFonts w:cs="David" w:ascii="David" w:hAnsi="David" w:eastAsia="David"/>
          <w:sz w:val="18"/>
          <w:szCs w:val="18"/>
          <w:rtl w:val="1"/>
        </w:rPr>
        <w:t>• שביעות רצון (Satisfying) = ממוצע של פריטים 2, 4, 6, 8 (טווח: −2 עד +2)</w:t>
      </w:r>
    </w:p>
    <w:p>
      <w:pPr>
        <w:bidi w:val="1"/>
        <w:jc w:val="right"/>
      </w:pPr>
      <w:r>
        <w:rPr>
          <w:rFonts w:cs="David" w:ascii="David" w:hAnsi="David" w:eastAsia="David"/>
          <w:b/>
          <w:sz w:val="18"/>
          <w:szCs w:val="18"/>
          <w:bCs/>
          <w:rtl w:val="1"/>
        </w:rPr>
        <w:t>⚠ פריטים מהופכים (יש להפוך לפני חישוב): 3, 6, 8</w:t>
      </w:r>
    </w:p>
    <w:p>
      <w:pPr>
        <w:bidi w:val="1"/>
        <w:jc w:val="right"/>
      </w:pPr>
      <w:r>
        <w:rPr>
          <w:rFonts w:cs="David" w:ascii="David" w:hAnsi="David" w:eastAsia="David"/>
          <w:sz w:val="18"/>
          <w:szCs w:val="18"/>
          <w:rtl w:val="1"/>
        </w:rPr>
        <w:t>ציון גבוה יותר = קבלה טובה יותר של המערכת.</w:t>
      </w:r>
    </w:p>
    <w:p>
      <w:pPr>
        <w:bidi w:val="1"/>
        <w:jc w:val="center"/>
      </w:pPr>
      <w:r>
        <w:rPr>
          <w:rFonts w:cs="David" w:ascii="David" w:hAnsi="David" w:eastAsia="David"/>
          <w:sz w:val="18"/>
          <w:szCs w:val="18"/>
          <w:rtl w:val="1"/>
        </w:rPr>
        <w:t>Van der Laan, J. D., Heino, A., &amp; de Waard, D. (1997). Transportation Research Part C, 5(1), 1-10.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