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First Paragraph"/>
        <w:spacing/>
        <w:ind/>
        <w:rPr/>
      </w:pPr>
      <w:r>
        <w:rPr>
          <w:b/>
          <w:bCs/>
          <w:u w:val="single"/>
        </w:rPr>
        <w:t xml:space="preserve">Patient leaflet in accordance with the Pharmacists' Regulations (Preparations) - 1986</w:t>
      </w:r>
    </w:p>
    <w:p>
      <w:pPr>
        <w:pBdr/>
        <w:pStyle w:val="Body Text"/>
        <w:spacing/>
        <w:ind/>
        <w:rPr/>
      </w:pPr>
      <w:r>
        <w:rPr/>
        <w:t xml:space="preserve">The medicine is dispensed with a doctor's prescription only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Plavix 75 mg</w:t>
      </w:r>
      <w:r>
        <w:rPr/>
        <w:t xml:space="preserve"> </w:t>
      </w:r>
      <w:r>
        <w:rPr/>
        <w:t xml:space="preserve">film-coated tablets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Active ingredient</w:t>
      </w:r>
    </w:p>
    <w:p>
      <w:pPr>
        <w:pBdr/>
        <w:pStyle w:val="Body Text"/>
        <w:spacing/>
        <w:ind/>
        <w:rPr/>
      </w:pPr>
      <w:r>
        <w:rPr/>
        <w:t xml:space="preserve">Each Plavix 75 mg tablet contains: clopidogrel (as hydrogen sulfate) 75 mg</w:t>
      </w:r>
    </w:p>
    <w:p>
      <w:pPr>
        <w:pBdr/>
        <w:pStyle w:val="Body Text"/>
        <w:spacing/>
        <w:ind/>
        <w:rPr/>
      </w:pPr>
      <w:r>
        <w:rPr/>
        <w:t xml:space="preserve">For information on inactive ingredients and allergens in the preparation, see section 2 - </w:t>
      </w:r>
      <w:r>
        <w:rPr/>
        <w:t xml:space="preserve">"Important </w:t>
      </w:r>
      <w:r>
        <w:rPr/>
        <w:t xml:space="preserve">information about some of the ingredients of the medicine" and section 6 - "Further </w:t>
      </w:r>
      <w:r>
        <w:rPr/>
        <w:t xml:space="preserve">inform</w:t>
      </w:r>
      <w:r>
        <w:rPr/>
        <w:t xml:space="preserve">ation".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Read this leaflet carefully in its entirety before using this medicine.</w:t>
      </w:r>
      <w:r>
        <w:rPr/>
        <w:t xml:space="preserve"> </w:t>
      </w:r>
      <w:r>
        <w:rPr/>
        <w:t xml:space="preserve">This leaflet contains </w:t>
      </w:r>
      <w:r>
        <w:rPr/>
        <w:t xml:space="preserve">concise information about the medicine. If you have further questions, </w:t>
      </w:r>
      <w:r>
        <w:rPr/>
        <w:t xml:space="preserve">refer to the doctor or </w:t>
      </w:r>
      <w:r>
        <w:rPr/>
        <w:t xml:space="preserve">pharmacist.</w:t>
      </w:r>
    </w:p>
    <w:p>
      <w:pPr>
        <w:pBdr/>
        <w:pStyle w:val="Body Text"/>
        <w:spacing/>
        <w:ind/>
        <w:rPr/>
      </w:pPr>
      <w:r>
        <w:rPr/>
        <w:t xml:space="preserve">This medicine has been prescribed for you. Do not pass it on to others. It may harm them, even </w:t>
      </w:r>
      <w:r>
        <w:rPr/>
        <w:t xml:space="preserve">if </w:t>
      </w:r>
      <w:r>
        <w:rPr/>
        <w:t xml:space="preserve">it seems to you that their medical condition is similar.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1. What is the medicine intended for?</w:t>
      </w:r>
    </w:p>
    <w:p>
      <w:pPr>
        <w:pBdr/>
        <w:pStyle w:val="Body Text"/>
        <w:spacing/>
        <w:ind/>
        <w:rPr/>
      </w:pPr>
      <w:r>
        <w:rPr/>
        <w:t xml:space="preserve">The medicine is used for secondary prevention of atherothrombotic events in blood vessels (heart </w:t>
      </w:r>
      <w:r>
        <w:rPr/>
        <w:t xml:space="preserve">attacks, strokes or vascular death) in patients with atherosclerosis who have had a myocardial </w:t>
      </w:r>
      <w:r>
        <w:rPr/>
        <w:t xml:space="preserve">infarction, ischemic stroke, or who suffer from peripheral artery disease, and in patients </w:t>
      </w:r>
      <w:r>
        <w:rPr/>
        <w:t xml:space="preserve">suffering </w:t>
      </w:r>
      <w:r>
        <w:rPr/>
        <w:t xml:space="preserve">from unstable angina pectoris, including patients undergoing stent implantation in </w:t>
      </w:r>
      <w:r>
        <w:rPr/>
        <w:t xml:space="preserve">angioplasty </w:t>
      </w:r>
      <w:r>
        <w:rPr/>
        <w:t xml:space="preserve">and who are treated with aspirin.</w:t>
      </w:r>
    </w:p>
    <w:p>
      <w:pPr>
        <w:pBdr/>
        <w:pStyle w:val="Body Text"/>
        <w:spacing/>
        <w:ind/>
        <w:rPr/>
      </w:pPr>
      <w:r>
        <w:rPr/>
        <w:t xml:space="preserve">The medicine is used for the prevention of atherothrombotic and thromboembolic events (heart </w:t>
      </w:r>
      <w:r>
        <w:rPr/>
        <w:t xml:space="preserve">attacks, strokes, emboli or vascular death) in combination with aspirin, in patients suffering </w:t>
      </w:r>
      <w:r>
        <w:rPr/>
        <w:t xml:space="preserve">from </w:t>
      </w:r>
      <w:r>
        <w:rPr/>
        <w:t xml:space="preserve">an irregular heart rhythm called atrial fibrillation who are not suitable for treatment </w:t>
      </w:r>
      <w:r>
        <w:rPr/>
        <w:t xml:space="preserve">with vitamin </w:t>
      </w:r>
      <w:r>
        <w:rPr/>
        <w:t xml:space="preserve">K antagonists such as warfarin (Coumadin), antithrombin or anti-factor Xa.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Therapeutic group:</w:t>
      </w:r>
      <w:r>
        <w:rPr/>
        <w:t xml:space="preserve"> </w:t>
      </w:r>
      <w:r>
        <w:rPr/>
        <w:t xml:space="preserve">Platelet aggregation inhibitors, from the thienopyridine group.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2. Before using the medicine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  <w:tblLayout w:type="fixed"/>
      </w:tblPr>
      <w:tblGrid>
        <w:gridCol w:w="9576"/>
      </w:tblGrid>
      <w:tr>
        <w:tblPrEx>
          <w:tblBorders/>
          <w:tblCellMar/>
        </w:tblPrEx>
        <w:trPr>
          <w:trHeight w:hRule="atLeast" w:val="20"/>
          <w:tblHeader/>
        </w:trPr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First Paragraph"/>
              <w:spacing/>
              <w:ind/>
              <w:rPr/>
            </w:pPr>
            <w:r>
              <w:rPr>
                <w:b/>
                <w:bCs/>
              </w:rPr>
              <w:t xml:space="preserve">Do not use the medicine if:</w:t>
            </w:r>
          </w:p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rPr/>
            </w:pPr>
            <w:r>
              <w:rPr/>
              <w:t xml:space="preserve">you are sensitive (allergic) to clopidogrel or any of the other ingredients the medicine </w:t>
            </w:r>
            <w:r>
              <w:rPr/>
              <w:t xml:space="preserve">contains </w:t>
            </w:r>
            <w:r>
              <w:rPr/>
              <w:t xml:space="preserve">(see section 6).</w:t>
            </w:r>
          </w:p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rPr/>
            </w:pPr>
            <w:r>
              <w:rPr/>
              <w:t xml:space="preserve">you are suffering from a medical condition that is currently causing bleeding such as a </w:t>
            </w:r>
            <w:r>
              <w:rPr/>
              <w:t xml:space="preserve">stomach </w:t>
            </w:r>
            <w:r>
              <w:rPr/>
              <w:t xml:space="preserve">or duodenal ulcer, intracranial bleeding.</w:t>
            </w:r>
          </w:p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rPr/>
            </w:pPr>
            <w:r>
              <w:rPr/>
              <w:t xml:space="preserve">you are suffering from severe liver disease.</w:t>
            </w:r>
          </w:p>
          <w:p>
            <w:pPr>
              <w:pBdr/>
              <w:pStyle w:val="First Paragraph"/>
              <w:spacing/>
              <w:ind/>
              <w:rPr/>
            </w:pPr>
            <w:r>
              <w:rPr/>
              <w:t xml:space="preserve">If any of these apply to you, or if you have any doubt, consult your doctor before taking </w:t>
            </w:r>
            <w:r>
              <w:rPr/>
              <w:t xml:space="preserve">Plavix.</w:t>
            </w:r>
          </w:p>
        </w:tc>
      </w:tr>
    </w:tbl>
    <w:p>
      <w:pPr>
        <w:pBdr/>
        <w:pStyle w:val="Body Text"/>
        <w:spacing/>
        <w:ind/>
        <w:rPr/>
      </w:pPr>
      <w:r>
        <w:rPr>
          <w:b/>
          <w:bCs/>
        </w:rPr>
        <w:t xml:space="preserve">Special warnings regarding use of the medicine: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Before treatment with the medicine tell the doctor if: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you have a risk of bleeding such as:</w:t>
      </w:r>
    </w:p>
    <w:p>
      <w:pPr>
        <w:pBdr/>
        <w:pStyle w:val="Normal"/>
        <w:numPr>
          <w:ilvl w:val="1"/>
          <w:numId w:val="2"/>
        </w:numPr>
        <w:spacing/>
        <w:ind/>
        <w:rPr/>
      </w:pPr>
      <w:r>
        <w:rPr/>
        <w:t xml:space="preserve">a medical condition that puts you at risk of internal bleeding (such as a stomach </w:t>
      </w:r>
      <w:r>
        <w:rPr/>
        <w:t xml:space="preserve">ulcer).</w:t>
      </w:r>
    </w:p>
    <w:p>
      <w:pPr>
        <w:pBdr/>
        <w:pStyle w:val="Normal"/>
        <w:numPr>
          <w:ilvl w:val="1"/>
          <w:numId w:val="2"/>
        </w:numPr>
        <w:spacing/>
        <w:ind/>
        <w:rPr/>
      </w:pPr>
      <w:r>
        <w:rPr/>
        <w:t xml:space="preserve">a blood disorder that makes you prone to internal bleeding (bleeding inside any </w:t>
      </w:r>
      <w:r>
        <w:rPr/>
        <w:t xml:space="preserve">tissues, organs </w:t>
      </w:r>
      <w:r>
        <w:rPr/>
        <w:t xml:space="preserve">or joints of your body).</w:t>
      </w:r>
    </w:p>
    <w:p>
      <w:pPr>
        <w:pBdr/>
        <w:pStyle w:val="Normal"/>
        <w:numPr>
          <w:ilvl w:val="1"/>
          <w:numId w:val="2"/>
        </w:numPr>
        <w:spacing/>
        <w:ind/>
        <w:rPr/>
      </w:pPr>
      <w:r>
        <w:rPr/>
        <w:t xml:space="preserve">you have recently suffered a serious injury.</w:t>
      </w:r>
    </w:p>
    <w:p>
      <w:pPr>
        <w:pBdr/>
        <w:pStyle w:val="Normal"/>
        <w:numPr>
          <w:ilvl w:val="1"/>
          <w:numId w:val="2"/>
        </w:numPr>
        <w:spacing/>
        <w:ind/>
        <w:rPr/>
      </w:pPr>
      <w:r>
        <w:rPr/>
        <w:t xml:space="preserve">you have recently undergone surgery (including dental).</w:t>
      </w:r>
    </w:p>
    <w:p>
      <w:pPr>
        <w:pBdr/>
        <w:pStyle w:val="Normal"/>
        <w:numPr>
          <w:ilvl w:val="1"/>
          <w:numId w:val="2"/>
        </w:numPr>
        <w:spacing/>
        <w:ind/>
        <w:rPr/>
      </w:pPr>
      <w:r>
        <w:rPr/>
        <w:t xml:space="preserve">you are due to undergo surgery (including dental) in the next seven days.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you have suffered a clot in an artery of your brain (ischemic stroke) in the last seven </w:t>
      </w:r>
      <w:r>
        <w:rPr/>
        <w:t xml:space="preserve">da</w:t>
      </w:r>
      <w:r>
        <w:rPr/>
        <w:t xml:space="preserve">ys.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you are suffering from kidney or liver disease.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you have suffered in the past from an allergy or reaction to any medicine used to treat </w:t>
      </w:r>
      <w:r>
        <w:rPr/>
        <w:t xml:space="preserve">your </w:t>
      </w:r>
      <w:r>
        <w:rPr/>
        <w:t xml:space="preserve">disease.</w:t>
      </w:r>
    </w:p>
    <w:p>
      <w:pPr>
        <w:pBdr/>
        <w:pStyle w:val="First Paragraph"/>
        <w:spacing/>
        <w:ind/>
        <w:rPr/>
      </w:pPr>
      <w:r>
        <w:rPr>
          <w:b/>
          <w:bCs/>
        </w:rPr>
        <w:t xml:space="preserve">During treatment with the medicine: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You must tell your doctor if surgery (including dental) is planned.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You must also tell your doctor immediately if you develop a medical condition (also </w:t>
      </w:r>
      <w:r>
        <w:rPr/>
        <w:t xml:space="preserve">known as </w:t>
      </w:r>
      <w:r>
        <w:rPr/>
        <w:t xml:space="preserve">Thrombotic Thrombocytopenic Purpura or TTP) that includes fever and </w:t>
      </w:r>
      <w:r>
        <w:rPr/>
        <w:t xml:space="preserve">bruising under the skin </w:t>
      </w:r>
      <w:r>
        <w:rPr/>
        <w:t xml:space="preserve">that may appear as red pinpoint dots, with or without unexplained </w:t>
      </w:r>
      <w:r>
        <w:rPr/>
        <w:t xml:space="preserve">extreme tiredness, confusion, </w:t>
      </w:r>
      <w:r>
        <w:rPr/>
        <w:t xml:space="preserve">yellowing of the skin or eyes (jaundice) (see section 4 "Side </w:t>
      </w:r>
      <w:r>
        <w:rPr/>
        <w:t xml:space="preserve">effects").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If you cut or injure yourself, it may take longer than usual for bleeding to stop. This is </w:t>
      </w:r>
      <w:r>
        <w:rPr/>
        <w:t xml:space="preserve">linked to the way your medicine works as it prevents the ability of blood clots to form. </w:t>
      </w:r>
      <w:r>
        <w:rPr/>
        <w:t xml:space="preserve">For </w:t>
      </w:r>
      <w:r>
        <w:rPr/>
        <w:t xml:space="preserve">minor cuts and injuries e.g. cutting yourself, shaving, this is usually of no concern. </w:t>
      </w:r>
      <w:r>
        <w:rPr/>
        <w:t xml:space="preserve">However, </w:t>
      </w:r>
      <w:r>
        <w:rPr/>
        <w:t xml:space="preserve">if you are concerned by your bleeding, you should contact your doctor </w:t>
      </w:r>
      <w:r>
        <w:rPr/>
        <w:t xml:space="preserve">straightaway (see section </w:t>
      </w:r>
      <w:r>
        <w:rPr/>
        <w:t xml:space="preserve">2 "Special warnings regarding use of the medicine").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Your doctor may order blood tests.</w:t>
      </w:r>
    </w:p>
    <w:p>
      <w:pPr>
        <w:pBdr/>
        <w:pStyle w:val="First Paragraph"/>
        <w:spacing/>
        <w:ind/>
        <w:rPr/>
      </w:pPr>
      <w:r>
        <w:rPr>
          <w:b/>
          <w:bCs/>
        </w:rPr>
        <w:t xml:space="preserve">Children and adolescents</w:t>
      </w:r>
    </w:p>
    <w:p>
      <w:pPr>
        <w:pBdr/>
        <w:pStyle w:val="Body Text"/>
        <w:spacing/>
        <w:ind/>
        <w:rPr/>
      </w:pPr>
      <w:r>
        <w:rPr/>
        <w:t xml:space="preserve">This medicine is not intended for children and adolescents under 18 years of age.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Drug interactions: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If you are taking, or have recently taken, other medicines including non-prescription </w:t>
      </w:r>
      <w:r>
        <w:rPr>
          <w:b/>
          <w:bCs/>
        </w:rPr>
        <w:t xml:space="preserve">medicines </w:t>
      </w:r>
      <w:r>
        <w:rPr>
          <w:b/>
          <w:bCs/>
        </w:rPr>
        <w:t xml:space="preserve">and nutritional supplements, tell the doctor or pharmacist.</w:t>
      </w:r>
    </w:p>
    <w:p>
      <w:pPr>
        <w:pBdr/>
        <w:pStyle w:val="Body Text"/>
        <w:spacing/>
        <w:ind/>
        <w:rPr/>
      </w:pPr>
      <w:r>
        <w:rPr/>
        <w:t xml:space="preserve">Some medicines may influence the use of Plavix or vice versa.</w:t>
      </w:r>
    </w:p>
    <w:p>
      <w:pPr>
        <w:pBdr/>
        <w:pStyle w:val="Body Text"/>
        <w:spacing/>
        <w:ind/>
        <w:rPr/>
      </w:pPr>
      <w:r>
        <w:rPr/>
        <w:t xml:space="preserve">You should specifically tell the doctor if you are taking: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Medicines that may increase your risk of bleeding such as: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oral anticoagulants, medicines used to reduce blood clotting,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a non-steroidal anti-inflammatory medicine (NSAIDs), usually used to treat painful </w:t>
      </w:r>
      <w:r>
        <w:rPr/>
        <w:t xml:space="preserve">and/or inflammatory </w:t>
      </w:r>
      <w:r>
        <w:rPr/>
        <w:t xml:space="preserve">conditions of muscles or joints,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heparin or any other injectable medicine used to reduce blood clotting,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ticlopidine, or other antiplatelet agents,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a selective serotonin reuptake inhibitor (SSRIs) (including but not restricted to fluoxetine </w:t>
      </w:r>
      <w:r>
        <w:rPr/>
        <w:t xml:space="preserve">or fluvoxamine), medicines usually used to treat depression,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rifampicin (used to treat severe infections)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omeprazole or esomeprazole, medicines to treat stomach upset,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fluconazole or voriconazole, medicines to treat fungal infections,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efavirenz, or other anti-retroviral medicines (used to treat HIV infection),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carbamazepine, a medicine to treat some forms of epilepsy,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moclobemide, medicine to treat depression,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repaglinide, medicine to treat diabetes,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paclitaxel, medicine to treat cancer,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opioids: while you are treated with clopidogrel, you should inform your doctor before </w:t>
      </w:r>
      <w:r>
        <w:rPr/>
        <w:t xml:space="preserve">being </w:t>
      </w:r>
      <w:r>
        <w:rPr/>
        <w:t xml:space="preserve">prescribed any opioid medicine (used to treat severe pain),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rosuvastatin (used to lower your cholesterol level).</w:t>
      </w:r>
    </w:p>
    <w:p>
      <w:pPr>
        <w:pBdr/>
        <w:pStyle w:val="First Paragraph"/>
        <w:spacing/>
        <w:ind/>
        <w:rPr/>
      </w:pPr>
      <w:r>
        <w:rPr/>
        <w:t xml:space="preserve">If you have experienced severe chest pain (unstable angina or heart attack), you may be </w:t>
      </w:r>
      <w:r>
        <w:rPr/>
        <w:t xml:space="preserve">prescribed </w:t>
      </w:r>
      <w:r>
        <w:rPr/>
        <w:t xml:space="preserve">Plavix in combination with acetylsalicylic acid, a substance present in many </w:t>
      </w:r>
      <w:r>
        <w:rPr/>
        <w:t xml:space="preserve">medicines used </w:t>
      </w:r>
      <w:r>
        <w:rPr/>
        <w:t xml:space="preserve">to relieve pain and lower fever. An occasional use of acetylsalicylic acid (no </w:t>
      </w:r>
      <w:r>
        <w:rPr/>
        <w:t xml:space="preserve">more than 1,000 </w:t>
      </w:r>
      <w:r>
        <w:rPr/>
        <w:t xml:space="preserve">mg in any 24 hour period) should generally not cause a problem, but prolonged </w:t>
      </w:r>
      <w:r>
        <w:rPr/>
        <w:t xml:space="preserve">use in other </w:t>
      </w:r>
      <w:r>
        <w:rPr/>
        <w:t xml:space="preserve">circumstances should be discussed with your doctor.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Use of the medicine and food</w:t>
      </w:r>
    </w:p>
    <w:p>
      <w:pPr>
        <w:pBdr/>
        <w:pStyle w:val="Body Text"/>
        <w:spacing/>
        <w:ind/>
        <w:rPr/>
      </w:pPr>
      <w:r>
        <w:rPr/>
        <w:t xml:space="preserve">The medicine can be taken with or without food.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Pregnancy, breastfeeding and fertility</w:t>
      </w:r>
    </w:p>
    <w:p>
      <w:pPr>
        <w:pBdr/>
        <w:pStyle w:val="Body Text"/>
        <w:spacing/>
        <w:ind/>
        <w:rPr/>
      </w:pPr>
      <w:r>
        <w:rPr/>
        <w:t xml:space="preserve">It is preferable not to take this medicine during pregnancy.</w:t>
      </w:r>
    </w:p>
    <w:p>
      <w:pPr>
        <w:pBdr/>
        <w:pStyle w:val="Body Text"/>
        <w:spacing/>
        <w:ind/>
        <w:rPr/>
      </w:pPr>
      <w:r>
        <w:rPr/>
        <w:t xml:space="preserve">If you are pregnant or suspect that you are pregnant, you should tell your doctor or pharmacist </w:t>
      </w:r>
      <w:r>
        <w:rPr/>
        <w:t xml:space="preserve">before taking Plavix. If you become pregnant during treatment with the medicine, consult your </w:t>
      </w:r>
      <w:r>
        <w:rPr/>
        <w:t xml:space="preserve">doctor immediately as it is recommended not to take clopidogrel while you are pregnant.</w:t>
      </w:r>
    </w:p>
    <w:p>
      <w:pPr>
        <w:pBdr/>
        <w:pStyle w:val="Body Text"/>
        <w:spacing/>
        <w:ind/>
        <w:rPr/>
      </w:pPr>
      <w:r>
        <w:rPr/>
        <w:t xml:space="preserve">You should not breastfeed while taking this medicine.</w:t>
      </w:r>
    </w:p>
    <w:p>
      <w:pPr>
        <w:pBdr/>
        <w:pStyle w:val="Body Text"/>
        <w:spacing/>
        <w:ind/>
        <w:rPr/>
      </w:pPr>
      <w:r>
        <w:rPr/>
        <w:t xml:space="preserve">If you are breastfeeding or planning to breastfeed, talk to your doctor before taking this </w:t>
      </w:r>
      <w:r>
        <w:rPr/>
        <w:t xml:space="preserve">medicine.</w:t>
      </w:r>
    </w:p>
    <w:p>
      <w:pPr>
        <w:pBdr/>
        <w:pStyle w:val="Body Text"/>
        <w:spacing/>
        <w:ind/>
        <w:rPr/>
      </w:pPr>
      <w:r>
        <w:rPr/>
        <w:t xml:space="preserve">Consult with your doctor or pharmacist before taking any medicine.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Driving and using machines</w:t>
      </w:r>
    </w:p>
    <w:p>
      <w:pPr>
        <w:pBdr/>
        <w:pStyle w:val="Body Text"/>
        <w:spacing/>
        <w:ind/>
        <w:rPr/>
      </w:pPr>
      <w:r>
        <w:rPr/>
        <w:t xml:space="preserve">Plavix is not expected to affect your ability to drive or operate machines.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Important information about some of the ingredients of the medicine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Plavix contains lactose</w:t>
      </w:r>
    </w:p>
    <w:p>
      <w:pPr>
        <w:pBdr/>
        <w:pStyle w:val="Body Text"/>
        <w:spacing/>
        <w:ind/>
        <w:rPr/>
      </w:pPr>
      <w:r>
        <w:rPr/>
        <w:t xml:space="preserve">If you have been told by your doctor that you have an intolerance to some sugars (such as </w:t>
      </w:r>
      <w:r>
        <w:rPr/>
        <w:t xml:space="preserve">lactose), </w:t>
      </w:r>
      <w:r>
        <w:rPr/>
        <w:t xml:space="preserve">contact your doctor before taking this medicine.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Plavix contains hydrogenated castor oil</w:t>
      </w:r>
    </w:p>
    <w:p>
      <w:pPr>
        <w:pBdr/>
        <w:pStyle w:val="Body Text"/>
        <w:spacing/>
        <w:ind/>
        <w:rPr/>
      </w:pPr>
      <w:r>
        <w:rPr/>
        <w:t xml:space="preserve">This may cause stomach upset or diarrhea.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3. How should you use the medicine?</w:t>
      </w:r>
    </w:p>
    <w:p>
      <w:pPr>
        <w:pBdr/>
        <w:pStyle w:val="Body Text"/>
        <w:spacing/>
        <w:ind/>
        <w:rPr/>
      </w:pPr>
      <w:r>
        <w:rPr/>
        <w:t xml:space="preserve">Always use the preparation according to the doctor's instructions. Check with the doctor or </w:t>
      </w:r>
      <w:r>
        <w:rPr/>
        <w:t xml:space="preserve">pharmacist if you are uncertain about the dosage and treatment regimen of the preparation.</w:t>
      </w:r>
    </w:p>
    <w:p>
      <w:pPr>
        <w:pBdr/>
        <w:pStyle w:val="Body Text"/>
        <w:spacing/>
        <w:ind/>
        <w:rPr/>
      </w:pPr>
      <w:r>
        <w:rPr/>
        <w:t xml:space="preserve">The dosage and treatment regimen will be determined by the doctor only. The usual dosage, </w:t>
      </w:r>
      <w:r>
        <w:rPr/>
        <w:t xml:space="preserve">including </w:t>
      </w:r>
      <w:r>
        <w:rPr/>
        <w:t xml:space="preserve">for patients with a condition called "atrial fibrillation" (irregular heart rhythm), is: one </w:t>
      </w:r>
      <w:r>
        <w:rPr/>
        <w:t xml:space="preserve">tablet of Plavix 75 mg per day, taken orally, with or without food and at the same time each </w:t>
      </w:r>
      <w:r>
        <w:rPr/>
        <w:t xml:space="preserve">day.</w:t>
      </w:r>
    </w:p>
    <w:p>
      <w:pPr>
        <w:pBdr/>
        <w:pStyle w:val="Body Text"/>
        <w:spacing/>
        <w:ind/>
        <w:rPr/>
      </w:pPr>
      <w:r>
        <w:rPr/>
        <w:t xml:space="preserve">If you have experienced severe chest pain (unstable angina or heart attack), your doctor may </w:t>
      </w:r>
      <w:r>
        <w:rPr/>
        <w:t xml:space="preserve">instruct you to take a one-time dose of 300 mg (4 tablets of 75 mg) at the start of treatment. </w:t>
      </w:r>
      <w:r>
        <w:rPr/>
        <w:t xml:space="preserve">Then, the recommended dosage is one tablet of Plavix 75 mg per day taken as described abov</w:t>
      </w:r>
      <w:r>
        <w:rPr/>
        <w:t xml:space="preserve">e.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Do not exceed the recommended dose.</w:t>
      </w:r>
    </w:p>
    <w:p>
      <w:pPr>
        <w:pBdr/>
        <w:pStyle w:val="Body Text"/>
        <w:spacing/>
        <w:ind/>
        <w:rPr/>
      </w:pPr>
      <w:r>
        <w:rPr/>
        <w:t xml:space="preserve">You should take Plavix for as long as your doctor prescribes it.</w:t>
      </w:r>
    </w:p>
    <w:p>
      <w:pPr>
        <w:pBdr/>
        <w:pStyle w:val="Body Text"/>
        <w:spacing/>
        <w:ind/>
        <w:rPr/>
      </w:pPr>
      <w:r>
        <w:rPr/>
        <w:t xml:space="preserve">There is no information regarding crushing or grinding the tablet.</w:t>
      </w:r>
    </w:p>
    <w:p>
      <w:pPr>
        <w:pBdr/>
        <w:pStyle w:val="Body Text"/>
        <w:spacing/>
        <w:ind/>
        <w:rPr/>
      </w:pPr>
      <w:r>
        <w:rPr/>
        <w:t xml:space="preserve">Do not chew! Swallow the medicine with water. The medicine can be taken with or without fo</w:t>
      </w:r>
      <w:r>
        <w:rPr/>
        <w:t xml:space="preserve">od.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If you accidentally took a higher dosage:</w:t>
      </w:r>
    </w:p>
    <w:p>
      <w:pPr>
        <w:pBdr/>
        <w:pStyle w:val="Body Text"/>
        <w:spacing/>
        <w:ind/>
        <w:rPr/>
      </w:pPr>
      <w:r>
        <w:rPr/>
        <w:t xml:space="preserve">Refer immediately to a doctor or to a hospital emergency room because of the increased risk </w:t>
      </w:r>
      <w:r>
        <w:rPr/>
        <w:t xml:space="preserve">of </w:t>
      </w:r>
      <w:r>
        <w:rPr/>
        <w:t xml:space="preserve">bleeding.</w:t>
      </w:r>
    </w:p>
    <w:p>
      <w:pPr>
        <w:pBdr/>
        <w:pStyle w:val="Body Text"/>
        <w:spacing/>
        <w:ind/>
        <w:rPr/>
      </w:pPr>
      <w:r>
        <w:rPr/>
        <w:t xml:space="preserve">If an overdose has been taken or if a child has accidentally swallowed the medicine, proceed </w:t>
      </w:r>
      <w:r>
        <w:rPr/>
        <w:t xml:space="preserve">immediately to a doctor or a hospital emergency room and bring the package of the medicine </w:t>
      </w:r>
      <w:r>
        <w:rPr/>
        <w:t xml:space="preserve">with you.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If you forgot to take the medicine:</w:t>
      </w:r>
    </w:p>
    <w:p>
      <w:pPr>
        <w:pBdr/>
        <w:pStyle w:val="Body Text"/>
        <w:spacing/>
        <w:ind/>
        <w:rPr/>
      </w:pPr>
      <w:r>
        <w:rPr/>
        <w:t xml:space="preserve">If you forgot to take the Plavix dose but remember within 12 hours of the scheduled time, take </w:t>
      </w:r>
      <w:r>
        <w:rPr/>
        <w:t xml:space="preserve">the tablet immediately and then take the next tablet at the usual time.</w:t>
      </w:r>
    </w:p>
    <w:p>
      <w:pPr>
        <w:pBdr/>
        <w:pStyle w:val="Body Text"/>
        <w:spacing/>
        <w:ind/>
        <w:rPr/>
      </w:pPr>
      <w:r>
        <w:rPr/>
        <w:t xml:space="preserve">If you forgot and more than 12 hours have passed, simply take the next single dose at the regular </w:t>
      </w:r>
      <w:r>
        <w:rPr/>
        <w:t xml:space="preserve">time. Do not take a double dose to make up for a forgotten tablet.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Adhere to the treatment as recommended by the doctor.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If you stop taking Plavix: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Do not stop treatment unless instructed to do so by your doctor.</w:t>
      </w:r>
      <w:r>
        <w:rPr/>
        <w:t xml:space="preserve"> </w:t>
      </w:r>
      <w:r>
        <w:rPr/>
        <w:t xml:space="preserve">Refer to the doctor or </w:t>
      </w:r>
      <w:r>
        <w:rPr/>
        <w:t xml:space="preserve">pharmacist before stopping treatment.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Do not take medicines in the dark! Check the label and the dose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 xml:space="preserve">each time</w:t>
      </w:r>
      <w:r>
        <w:rPr>
          <w:b/>
          <w:bCs/>
        </w:rPr>
        <w:t xml:space="preserve"> </w:t>
      </w:r>
      <w:r>
        <w:rPr>
          <w:b/>
          <w:bCs/>
        </w:rPr>
        <w:t xml:space="preserve">you take </w:t>
      </w:r>
      <w:r>
        <w:rPr>
          <w:b/>
          <w:bCs/>
        </w:rPr>
        <w:t xml:space="preserve">medicine. Wear glasses if you need them.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If you have further questions regarding use of the medicine, consult the doctor or </w:t>
      </w:r>
      <w:r>
        <w:rPr>
          <w:b/>
          <w:bCs/>
        </w:rPr>
        <w:t xml:space="preserve">pharmac</w:t>
      </w:r>
      <w:r>
        <w:rPr>
          <w:b/>
          <w:bCs/>
        </w:rPr>
        <w:t xml:space="preserve">ist.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4. Side effects</w:t>
      </w:r>
    </w:p>
    <w:p>
      <w:pPr>
        <w:pBdr/>
        <w:pStyle w:val="Body Text"/>
        <w:spacing/>
        <w:ind/>
        <w:rPr/>
      </w:pPr>
      <w:r>
        <w:rPr/>
        <w:t xml:space="preserve">As with any medicine, use of Plavix may cause side effects in some users. Do not be alarmed </w:t>
      </w:r>
      <w:r>
        <w:rPr/>
        <w:t xml:space="preserve">when reading the list of side effects. You may not suffer from any of them.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Consult with the doctor immediately if the following signs appear: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fever, signs of infection or extreme tiredness. These may be due to rare decrease of some </w:t>
      </w:r>
      <w:r>
        <w:rPr/>
        <w:t xml:space="preserve">blood </w:t>
      </w:r>
      <w:r>
        <w:rPr/>
        <w:t xml:space="preserve">cells.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signs of liver problems such as yellowing of the skin and/or eyes (jaundice), whether or </w:t>
      </w:r>
      <w:r>
        <w:rPr/>
        <w:t xml:space="preserve">not </w:t>
      </w:r>
      <w:r>
        <w:rPr/>
        <w:t xml:space="preserve">associated with bleeding which appears under the skin as red pinpoint dots, and/or </w:t>
      </w:r>
      <w:r>
        <w:rPr/>
        <w:t xml:space="preserve">confusion </w:t>
      </w:r>
      <w:r>
        <w:rPr/>
        <w:t xml:space="preserve">(see section 2 "Special warnings regarding use of the medicine").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swelling in the mouth or skin disorders such as rashes and itching, blisters of the skin. </w:t>
      </w:r>
      <w:r>
        <w:rPr/>
        <w:t xml:space="preserve">These </w:t>
      </w:r>
      <w:r>
        <w:rPr/>
        <w:t xml:space="preserve">may be the signs of an allergic reaction.</w:t>
      </w:r>
    </w:p>
    <w:p>
      <w:pPr>
        <w:pBdr/>
        <w:pStyle w:val="First Paragraph"/>
        <w:spacing/>
        <w:ind/>
        <w:rPr/>
      </w:pPr>
      <w:r>
        <w:rPr>
          <w:b/>
          <w:bCs/>
        </w:rPr>
        <w:t xml:space="preserve">The most common side effect reported with Plavix is bleeding.</w:t>
      </w:r>
      <w:r>
        <w:rPr/>
        <w:t xml:space="preserve"> </w:t>
      </w:r>
      <w:r>
        <w:rPr/>
        <w:t xml:space="preserve">Bleeding may occur as </w:t>
      </w:r>
      <w:r>
        <w:rPr/>
        <w:t xml:space="preserve">bleeding in the stomach or bowels, bruising, hematoma (unusual bleeding </w:t>
      </w:r>
      <w:r>
        <w:rPr/>
        <w:t xml:space="preserve">or bruising under the </w:t>
      </w:r>
      <w:r>
        <w:rPr/>
        <w:t xml:space="preserve">skin), nosebleed, or blood in the urine. In a small number of cases, </w:t>
      </w:r>
      <w:r>
        <w:rPr/>
        <w:t xml:space="preserve">bleeding in the eye, inside the </w:t>
      </w:r>
      <w:r>
        <w:rPr/>
        <w:t xml:space="preserve">head, the lung or the joints has also been reported.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If you experience prolonged bleeding when taking Plavix</w:t>
      </w:r>
    </w:p>
    <w:p>
      <w:pPr>
        <w:pBdr/>
        <w:pStyle w:val="Body Text"/>
        <w:spacing/>
        <w:ind/>
        <w:rPr/>
      </w:pPr>
      <w:r>
        <w:rPr/>
        <w:t xml:space="preserve">If you cut or injure yourself, it may take longer than usual for bleeding to stop. This is </w:t>
      </w:r>
      <w:r>
        <w:rPr/>
        <w:t xml:space="preserve">linked to </w:t>
      </w:r>
      <w:r>
        <w:rPr/>
        <w:t xml:space="preserve">the way your medicine works as it prevents the ability of blood clots to form. For </w:t>
      </w:r>
      <w:r>
        <w:rPr/>
        <w:t xml:space="preserve">minor cuts and </w:t>
      </w:r>
      <w:r>
        <w:rPr/>
        <w:t xml:space="preserve">injuries e.g. cutting yourself, shaving, this is usually of no concern. However, </w:t>
      </w:r>
      <w:r>
        <w:rPr/>
        <w:t xml:space="preserve">if you are </w:t>
      </w:r>
      <w:r>
        <w:rPr/>
        <w:t xml:space="preserve">concerned by your bleeding, you should contact your doctor straightaway (see section </w:t>
      </w:r>
      <w:r>
        <w:rPr/>
        <w:t xml:space="preserve">2 "Special </w:t>
      </w:r>
      <w:r>
        <w:rPr/>
        <w:t xml:space="preserve">warnings regarding use of the medicine").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Other side effects include:</w:t>
      </w:r>
    </w:p>
    <w:p>
      <w:pPr>
        <w:pBdr/>
        <w:pStyle w:val="Body Text"/>
        <w:spacing/>
        <w:ind/>
        <w:rPr/>
      </w:pPr>
      <w:r>
        <w:rPr/>
        <w:t xml:space="preserve">Common side effects (may affect up to 1 in 10 people):</w:t>
      </w:r>
    </w:p>
    <w:p>
      <w:pPr>
        <w:pBdr/>
        <w:pStyle w:val="Body Text"/>
        <w:spacing/>
        <w:ind/>
        <w:rPr/>
      </w:pPr>
      <w:r>
        <w:rPr/>
        <w:t xml:space="preserve">Diarrhea, abdominal pain, indigestion or heartburn.</w:t>
      </w:r>
    </w:p>
    <w:p>
      <w:pPr>
        <w:pBdr/>
        <w:pStyle w:val="Body Text"/>
        <w:spacing/>
        <w:ind/>
        <w:rPr/>
      </w:pPr>
      <w:r>
        <w:rPr/>
        <w:t xml:space="preserve">Uncommon side effects (may affect up to 1 in 100 people):</w:t>
      </w:r>
    </w:p>
    <w:p>
      <w:pPr>
        <w:pBdr/>
        <w:pStyle w:val="Body Text"/>
        <w:spacing/>
        <w:ind/>
        <w:rPr/>
      </w:pPr>
      <w:r>
        <w:rPr/>
        <w:t xml:space="preserve">Headache, stomach ulcer, vomiting, nausea, constipation, excessive gas in stomach or intestines, </w:t>
      </w:r>
      <w:r>
        <w:rPr/>
        <w:t xml:space="preserve">rashes, itching, dizziness, sensation of tingling and numbness.</w:t>
      </w:r>
    </w:p>
    <w:p>
      <w:pPr>
        <w:pBdr/>
        <w:pStyle w:val="Body Text"/>
        <w:spacing/>
        <w:ind/>
        <w:rPr/>
      </w:pPr>
      <w:r>
        <w:rPr/>
        <w:t xml:space="preserve">Rare side effects (may affect up to 1 in 1,000 people):</w:t>
      </w:r>
    </w:p>
    <w:p>
      <w:pPr>
        <w:pBdr/>
        <w:pStyle w:val="Body Text"/>
        <w:spacing/>
        <w:ind/>
        <w:rPr/>
      </w:pPr>
      <w:r>
        <w:rPr/>
        <w:t xml:space="preserve">Vertigo, enlarged breasts in males.</w:t>
      </w:r>
    </w:p>
    <w:p>
      <w:pPr>
        <w:pBdr/>
        <w:pStyle w:val="Body Text"/>
        <w:spacing/>
        <w:ind/>
        <w:rPr/>
      </w:pPr>
      <w:r>
        <w:rPr/>
        <w:t xml:space="preserve">Very rare side effects (may affect up to 1 in 10,000 people):</w:t>
      </w:r>
    </w:p>
    <w:p>
      <w:pPr>
        <w:pBdr/>
        <w:pStyle w:val="Body Text"/>
        <w:spacing/>
        <w:ind/>
        <w:rPr/>
      </w:pPr>
      <w:r>
        <w:rPr/>
        <w:t xml:space="preserve">Jaundice; severe abdominal pain with or without back pain; fever, breathing difficulties </w:t>
      </w:r>
      <w:r>
        <w:rPr/>
        <w:t xml:space="preserve">sometimes </w:t>
      </w:r>
      <w:r>
        <w:rPr/>
        <w:t xml:space="preserve">associated with cough; generalised allergic reactions (for example, overall sensation </w:t>
      </w:r>
      <w:r>
        <w:rPr/>
        <w:t xml:space="preserve">of heat </w:t>
      </w:r>
      <w:r>
        <w:rPr/>
        <w:t xml:space="preserve">with sudden general discomfort until fainting); swelling in the mouth; blisters of the skin; </w:t>
      </w:r>
      <w:r>
        <w:rPr/>
        <w:t xml:space="preserve">skin allergy; sore mouth (stomatitis); decrease in blood pressure; confusion; hallucinations; </w:t>
      </w:r>
      <w:r>
        <w:rPr/>
        <w:t xml:space="preserve">joint </w:t>
      </w:r>
      <w:r>
        <w:rPr/>
        <w:t xml:space="preserve">pain; muscular pain; changes in taste or loss of taste of food.</w:t>
      </w:r>
    </w:p>
    <w:p>
      <w:pPr>
        <w:pBdr/>
        <w:pStyle w:val="Body Text"/>
        <w:spacing/>
        <w:ind/>
        <w:rPr/>
      </w:pPr>
      <w:r>
        <w:rPr/>
        <w:t xml:space="preserve">Side effects with unknown frequency (frequency cannot be estimated from the available data</w:t>
      </w:r>
      <w:r>
        <w:rPr/>
        <w:t xml:space="preserve">):</w:t>
      </w:r>
    </w:p>
    <w:p>
      <w:pPr>
        <w:pBdr/>
        <w:pStyle w:val="Body Text"/>
        <w:spacing/>
        <w:ind/>
        <w:rPr/>
      </w:pPr>
      <w:r>
        <w:rPr/>
        <w:t xml:space="preserve">Hypersensitivity reactions with chest or abdominal pain, persistent low blood sugar sympto</w:t>
      </w:r>
      <w:r>
        <w:rPr/>
        <w:t xml:space="preserve">ms.</w:t>
      </w:r>
    </w:p>
    <w:p>
      <w:pPr>
        <w:pBdr/>
        <w:pStyle w:val="Body Text"/>
        <w:spacing/>
        <w:ind/>
        <w:rPr/>
      </w:pPr>
      <w:r>
        <w:rPr/>
        <w:t xml:space="preserve">In addition, your doctor may identify changes in your blood or urine test results.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If a side effect occurs, if one of the side effects worsens or if you suffer from a side effect </w:t>
      </w:r>
      <w:r>
        <w:rPr>
          <w:b/>
          <w:bCs/>
        </w:rPr>
        <w:t xml:space="preserve">not </w:t>
      </w:r>
      <w:r>
        <w:rPr>
          <w:b/>
          <w:bCs/>
        </w:rPr>
        <w:t xml:space="preserve">mentioned in the leaflet, consult with the doctor.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Reporting side effects:</w:t>
      </w:r>
    </w:p>
    <w:p>
      <w:pPr>
        <w:pBdr/>
        <w:pStyle w:val="Body Text"/>
        <w:spacing/>
        <w:ind/>
        <w:rPr/>
      </w:pPr>
      <w:r>
        <w:rPr/>
        <w:t xml:space="preserve">Side effects can be reported to the Ministry of Health by clicking on the link "Report Side </w:t>
      </w:r>
      <w:r>
        <w:rPr/>
        <w:t xml:space="preserve">Effects </w:t>
      </w:r>
      <w:r>
        <w:rPr/>
        <w:t xml:space="preserve">of Drug Treatment" found on the Ministry of Health homepage (</w:t>
      </w:r>
      <w:r>
        <w:rPr/>
        <w:fldChar w:fldCharType="begin"/>
      </w:r>
      <w:r>
        <w:rPr/>
        <w:instrText xml:space="preserve">HYPERLINK "http://www.health.gov.il" </w:instrText>
      </w:r>
      <w:r>
        <w:rPr/>
        <w:fldChar w:fldCharType="separate"/>
      </w:r>
      <w:r>
        <w:rPr>
          <w:rStyle w:val="Hyperlink"/>
        </w:rPr>
        <w:t xml:space="preserve">www.health.gov.il</w:t>
      </w:r>
      <w:r>
        <w:rPr/>
        <w:fldChar w:fldCharType="end"/>
      </w:r>
      <w:r>
        <w:rPr/>
        <w:instrText xml:space="preserve">), which </w:instrText>
      </w:r>
      <w:r>
        <w:rPr/>
        <w:t xml:space="preserve">directs you to the online form for reporting side effects, or by entering the lin</w:t>
      </w:r>
      <w:r>
        <w:rPr/>
        <w:t xml:space="preserve">k:</w:t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"https://sideeffects.health.gov.il" </w:instrText>
      </w:r>
      <w:r>
        <w:rPr/>
        <w:fldChar w:fldCharType="separate"/>
      </w:r>
      <w:r>
        <w:rPr>
          <w:rStyle w:val="Hyperlink"/>
        </w:rPr>
        <w:t xml:space="preserve">https://sideeffects.health.gov.il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5. How should the medicine be stored?</w:t>
      </w:r>
    </w:p>
    <w:p>
      <w:pPr>
        <w:pBdr/>
        <w:pStyle w:val="Body Text"/>
        <w:spacing/>
        <w:ind/>
        <w:rPr/>
      </w:pPr>
      <w:r>
        <w:rPr/>
        <w:t xml:space="preserve">Avoid poisoning! This medicine, and all other medicines, must be stored in a safe place out </w:t>
      </w:r>
      <w:r>
        <w:rPr/>
        <w:t xml:space="preserve">of </w:t>
      </w:r>
      <w:r>
        <w:rPr/>
        <w:t xml:space="preserve">the reach and sight of children and/or infants, to avoid poisoning. Do not induce vomiting </w:t>
      </w:r>
      <w:r>
        <w:rPr/>
        <w:t xml:space="preserve">unless </w:t>
      </w:r>
      <w:r>
        <w:rPr/>
        <w:t xml:space="preserve">explicitly instructed to do so by the doctor.</w:t>
      </w:r>
    </w:p>
    <w:p>
      <w:pPr>
        <w:pBdr/>
        <w:pStyle w:val="Body Text"/>
        <w:spacing/>
        <w:ind/>
        <w:rPr/>
      </w:pPr>
      <w:r>
        <w:rPr/>
        <w:t xml:space="preserve">Do not use the medicine after the expiry date (exp. date) that appears on the package. The </w:t>
      </w:r>
      <w:r>
        <w:rPr/>
        <w:t xml:space="preserve">expiry </w:t>
      </w:r>
      <w:r>
        <w:rPr/>
        <w:t xml:space="preserve">date refers to the last day of that month.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Storage conditions:</w:t>
      </w:r>
    </w:p>
    <w:p>
      <w:pPr>
        <w:pBdr/>
        <w:pStyle w:val="Body Text"/>
        <w:spacing/>
        <w:ind/>
        <w:rPr/>
      </w:pPr>
      <w:r>
        <w:rPr/>
        <w:t xml:space="preserve">Store below 25°C.</w:t>
      </w:r>
    </w:p>
    <w:p>
      <w:pPr>
        <w:pBdr/>
        <w:pStyle w:val="Body Text"/>
        <w:spacing/>
        <w:ind/>
        <w:rPr/>
      </w:pPr>
      <w:r>
        <w:rPr/>
        <w:t xml:space="preserve">Do not use the medicine if you notice any visible changes in the tablet.</w:t>
      </w:r>
    </w:p>
    <w:p>
      <w:pPr>
        <w:pBdr/>
        <w:pStyle w:val="Body Text"/>
        <w:spacing/>
        <w:ind/>
        <w:rPr/>
      </w:pPr>
      <w:r>
        <w:rPr/>
        <w:t xml:space="preserve">Do not throw away any medicines via wastewater or household waste. Ask your pharmacist how </w:t>
      </w:r>
      <w:r>
        <w:rPr/>
        <w:t xml:space="preserve">to throw away medicines you no longer use. These measures will help protect the environmen</w:t>
      </w:r>
      <w:r>
        <w:rPr/>
        <w:t xml:space="preserve">t.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6. Further information</w:t>
      </w:r>
    </w:p>
    <w:p>
      <w:pPr>
        <w:pBdr/>
        <w:pStyle w:val="Body Text"/>
        <w:spacing/>
        <w:ind/>
        <w:rPr/>
      </w:pPr>
      <w:r>
        <w:rPr/>
        <w:t xml:space="preserve">In addition to the active ingredient, the medicine also contains:</w:t>
      </w:r>
    </w:p>
    <w:p>
      <w:pPr>
        <w:pBdr/>
        <w:pStyle w:val="Body Text"/>
        <w:spacing/>
        <w:ind/>
        <w:rPr/>
      </w:pPr>
      <w:r>
        <w:rPr/>
        <w:t xml:space="preserve">Mannitol, macrogol 6000, microcrystalline cellulose, low-substituted hydroxypropylcellulose, </w:t>
      </w:r>
      <w:r>
        <w:rPr/>
        <w:t xml:space="preserve">hydrogenated castor oil.</w:t>
      </w:r>
    </w:p>
    <w:p>
      <w:pPr>
        <w:pBdr/>
        <w:pStyle w:val="Body Text"/>
        <w:spacing/>
        <w:ind/>
        <w:rPr/>
      </w:pPr>
      <w:r>
        <w:rPr/>
        <w:t xml:space="preserve">Tablet coating:</w:t>
      </w:r>
    </w:p>
    <w:p>
      <w:pPr>
        <w:pBdr/>
        <w:pStyle w:val="Body Text"/>
        <w:spacing/>
        <w:ind/>
        <w:rPr/>
      </w:pPr>
      <w:r>
        <w:rPr/>
        <w:t xml:space="preserve">Lactose monohydrate, hypromellose, titanium dioxide, triacetin, red iron oxide, carnauba w</w:t>
      </w:r>
      <w:r>
        <w:rPr/>
        <w:t xml:space="preserve">ax.</w:t>
      </w:r>
    </w:p>
    <w:p>
      <w:pPr>
        <w:pBdr/>
        <w:pStyle w:val="Body Text"/>
        <w:spacing/>
        <w:ind/>
        <w:rPr/>
      </w:pPr>
      <w:r>
        <w:rPr/>
        <w:t xml:space="preserve">What the medicine looks like and the contents of the package:</w:t>
      </w:r>
    </w:p>
    <w:p>
      <w:pPr>
        <w:pBdr/>
        <w:pStyle w:val="Body Text"/>
        <w:spacing/>
        <w:ind/>
        <w:rPr/>
      </w:pPr>
      <w:r>
        <w:rPr/>
        <w:t xml:space="preserve">Plavix 75 mg tablets are round, pink, film-coated tablets. On one side the number "75" is </w:t>
      </w:r>
      <w:r>
        <w:rPr/>
        <w:t xml:space="preserve">engraved </w:t>
      </w:r>
      <w:r>
        <w:rPr/>
        <w:t xml:space="preserve">and on the other side the number "1171" is engraved.</w:t>
      </w:r>
    </w:p>
    <w:p>
      <w:pPr>
        <w:pBdr/>
        <w:pStyle w:val="Body Text"/>
        <w:spacing/>
        <w:ind/>
        <w:rPr/>
      </w:pPr>
      <w:r>
        <w:rPr/>
        <w:t xml:space="preserve">The package contains 30 tablets in a blister pack.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This leaflet does not contain all the information about the preparation. If you have any </w:t>
      </w:r>
      <w:r>
        <w:rPr>
          <w:b/>
          <w:bCs/>
        </w:rPr>
        <w:t xml:space="preserve">question </w:t>
      </w:r>
      <w:r>
        <w:rPr>
          <w:b/>
          <w:bCs/>
        </w:rPr>
        <w:t xml:space="preserve">or are unsure about something, please refer to the doctor.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Registration holder and importer name and address:</w:t>
      </w:r>
      <w:r>
        <w:rPr/>
        <w:t xml:space="preserve"> </w:t>
      </w:r>
      <w:r>
        <w:rPr/>
        <w:t xml:space="preserve">Sanofi Israel Ltd., Gvat Shemesh St., </w:t>
      </w:r>
      <w:r>
        <w:rPr/>
        <w:t xml:space="preserve">P.O.B. 47, Yoqneam.</w:t>
      </w:r>
    </w:p>
    <w:p>
      <w:pPr>
        <w:pBdr/>
        <w:pStyle w:val="Body Text"/>
        <w:spacing/>
        <w:ind/>
        <w:rPr/>
      </w:pPr>
      <w:r>
        <w:rPr/>
        <w:t xml:space="preserve">Registration number of the medicine in the National Drug Registry of the Ministry of Health: </w:t>
      </w:r>
      <w:r>
        <w:rPr/>
        <w:t xml:space="preserve">110-70-29307-00</w:t>
      </w:r>
    </w:p>
    <w:p>
      <w:pPr>
        <w:pBdr/>
        <w:pStyle w:val="Body Text"/>
        <w:spacing/>
        <w:ind/>
        <w:rPr/>
      </w:pPr>
      <w:r>
        <w:rPr/>
        <w:t xml:space="preserve">For simplicity and ease of reading, this leaflet was formulated in the masculine. However, </w:t>
      </w:r>
      <w:r>
        <w:rPr/>
        <w:t xml:space="preserve">the </w:t>
      </w:r>
      <w:r>
        <w:rPr/>
        <w:t xml:space="preserve">medicine is intended for both sexes.</w:t>
      </w:r>
    </w:p>
    <w:p>
      <w:pPr>
        <w:pBdr/>
        <w:pStyle w:val="Body Text"/>
        <w:spacing/>
        <w:ind/>
        <w:rPr/>
      </w:pPr>
      <w:r>
        <w:rPr/>
        <w:t xml:space="preserve">Revised in December 2022 according to MOH guidelines.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A991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 w:cs="Symbol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 w:cs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 w:cs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 w:cs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 w:cs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 w:cs="Wingdings"/>
      </w:rPr>
    </w:lvl>
  </w:abstract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2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</w:rPr>
    </w:rPrDefault>
    <w:pPrDefault>
      <w:pPr>
        <w:pBdr/>
        <w:keepNext w:val="0"/>
        <w:keepLines w:val="0"/>
        <w:outlineLvl w:val="9"/>
        <w:spacing w:before="0" w:after="20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Body Text">
    <w:name w:val="Body Text"/>
    <w:basedOn w:val="Normal"/>
    <w:next w:val="Body Text"/>
    <w:pPr>
      <w:pBdr/>
      <w:spacing w:before="180" w:after="180"/>
      <w:ind/>
    </w:pPr>
    <w:rPr/>
  </w:style>
  <w:style w:type="paragraph" w:styleId="First Paragraph">
    <w:name w:val="First Paragraph"/>
    <w:basedOn w:val="Body Text"/>
    <w:next w:val="Body Text"/>
    <w:pPr>
      <w:pBdr/>
      <w:spacing/>
      <w:ind/>
    </w:pPr>
    <w:rPr/>
  </w:style>
  <w:style w:type="paragraph" w:styleId="Compact">
    <w:name w:val="Compact"/>
    <w:basedOn w:val="Body Text"/>
    <w:next w:val="Compact"/>
    <w:pPr>
      <w:pBdr/>
      <w:spacing w:before="36" w:after="36"/>
      <w:ind/>
    </w:pPr>
    <w:rPr/>
  </w:style>
  <w:style w:type="paragraph" w:styleId="Title">
    <w:name w:val="Title"/>
    <w:basedOn w:val="Normal"/>
    <w:next w:val="Body Text"/>
    <w:pPr>
      <w:pBdr/>
      <w:spacing w:after="80" w:line="240" w:lineRule="auto"/>
      <w:contextualSpacing/>
      <w:ind/>
      <w:jc w:val="center"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Default Paragraph Font">
    <w:name w:val="Default Paragraph Font"/>
    <w:rPr/>
  </w:style>
  <w:style w:type="paragraph" w:styleId="Subtitle">
    <w:name w:val="Subtitle"/>
    <w:basedOn w:val="Title"/>
    <w:next w:val="Body Text"/>
    <w:pPr>
      <w:pBdr/>
      <w:numPr>
        <w:ilvl w:val="1"/>
      </w:numPr>
      <w:spacing/>
      <w:ind/>
    </w:pPr>
    <w:rPr>
      <w:rFonts w:eastAsiaTheme="majorEastAsia" w:cstheme="majorBidi"/>
      <w:sz w:val="28"/>
      <w:spacing w:val="15"/>
      <w:szCs w:val="28"/>
    </w:rPr>
  </w:style>
  <w:style w:type="character" w:styleId="Subtitle Char">
    <w:name w:val="Subtitle Char"/>
    <w:basedOn w:val="Default Paragraph Font"/>
    <w:rPr>
      <w:rFonts w:eastAsiaTheme="majorEastAsia" w:cstheme="majorBidi"/>
      <w:color w:val="595959"/>
      <w:sz w:val="28"/>
      <w:spacing w:val="15"/>
      <w:szCs w:val="28"/>
    </w:rPr>
  </w:style>
  <w:style w:type="paragraph" w:styleId="Author">
    <w:name w:val="Author"/>
    <w:next w:val="Body Text"/>
    <w:pPr>
      <w:pBdr/>
      <w:keepNext/>
      <w:keepLines/>
      <w:spacing/>
      <w:ind/>
      <w:jc w:val="center"/>
    </w:pPr>
    <w:rPr/>
  </w:style>
  <w:style w:type="paragraph" w:styleId="Date">
    <w:name w:val="Date"/>
    <w:next w:val="Body Text"/>
    <w:pPr>
      <w:pBdr/>
      <w:keepNext/>
      <w:keepLines/>
      <w:spacing/>
      <w:ind/>
      <w:jc w:val="center"/>
    </w:pPr>
    <w:rPr/>
  </w:style>
  <w:style w:type="paragraph" w:styleId="Abstract Title">
    <w:name w:val="Abstract Title"/>
    <w:basedOn w:val="Normal"/>
    <w:pPr>
      <w:pBdr/>
      <w:keepNext/>
      <w:keepLines/>
      <w:spacing w:before="300" w:after="0"/>
      <w:ind/>
      <w:jc w:val="center"/>
    </w:pPr>
    <w:rPr>
      <w:b/>
      <w:sz w:val="20"/>
      <w:szCs w:val="20"/>
    </w:rPr>
  </w:style>
  <w:style w:type="paragraph" w:styleId="Abstract">
    <w:name w:val="Abstract"/>
    <w:basedOn w:val="Normal"/>
    <w:next w:val="Body Text"/>
    <w:pPr>
      <w:pBdr/>
      <w:keepNext/>
      <w:keepLines/>
      <w:spacing w:before="100" w:after="300"/>
      <w:ind/>
    </w:pPr>
    <w:rPr>
      <w:sz w:val="20"/>
      <w:szCs w:val="20"/>
    </w:rPr>
  </w:style>
  <w:style w:type="paragraph" w:styleId="Bibliography">
    <w:name w:val="Bibliography"/>
    <w:basedOn w:val="Normal"/>
    <w:next w:val="Bibliography"/>
    <w:pPr>
      <w:pBdr/>
      <w:spacing/>
      <w:ind/>
    </w:pPr>
    <w:rPr/>
  </w:style>
  <w:style w:type="paragraph" w:styleId="Heading 1">
    <w:name w:val="Heading 1"/>
    <w:basedOn w:val="Normal"/>
    <w:next w:val="Body Text"/>
    <w:pPr>
      <w:pBdr/>
      <w:keepNext/>
      <w:keepLines/>
      <w:outlineLvl w:val="0"/>
      <w:spacing w:before="360" w:after="80"/>
      <w:ind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 2">
    <w:name w:val="Heading 2"/>
    <w:basedOn w:val="Normal"/>
    <w:next w:val="Body Text"/>
    <w:pPr>
      <w:pBdr/>
      <w:keepNext/>
      <w:keepLines/>
      <w:outlineLvl w:val="1"/>
      <w:spacing w:before="160" w:after="80"/>
      <w:ind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 3">
    <w:name w:val="Heading 3"/>
    <w:basedOn w:val="Normal"/>
    <w:next w:val="Body Text"/>
    <w:pPr>
      <w:pBdr/>
      <w:keepNext/>
      <w:keepLines/>
      <w:outlineLvl w:val="2"/>
      <w:spacing w:before="160" w:after="80"/>
      <w:ind/>
    </w:pPr>
    <w:rPr>
      <w:rFonts w:eastAsiaTheme="majorEastAsia" w:cstheme="majorBidi"/>
      <w:color w:val="0F4761"/>
      <w:sz w:val="28"/>
      <w:szCs w:val="28"/>
    </w:rPr>
  </w:style>
  <w:style w:type="character" w:styleId="Heading 3 Char">
    <w:name w:val="Heading 3 Char"/>
    <w:basedOn w:val="Default Paragraph Font"/>
    <w:rPr>
      <w:rFonts w:eastAsiaTheme="majorEastAsia" w:cstheme="majorBidi"/>
      <w:color w:val="0F4761"/>
      <w:sz w:val="28"/>
      <w:szCs w:val="28"/>
    </w:rPr>
  </w:style>
  <w:style w:type="paragraph" w:styleId="Heading 4">
    <w:name w:val="Heading 4"/>
    <w:basedOn w:val="Normal"/>
    <w:next w:val="Body Text"/>
    <w:pPr>
      <w:pBdr/>
      <w:keepNext/>
      <w:keepLines/>
      <w:outlineLvl w:val="3"/>
      <w:spacing w:before="80" w:after="40"/>
      <w:ind/>
    </w:pPr>
    <w:rPr>
      <w:rFonts w:eastAsiaTheme="majorEastAsia" w:cstheme="majorBidi"/>
      <w:i/>
      <w:iCs/>
      <w:color w:val="0F4761"/>
    </w:rPr>
  </w:style>
  <w:style w:type="character" w:styleId="Heading 4 Char">
    <w:name w:val="Heading 4 Char"/>
    <w:basedOn w:val="Default Paragraph Font"/>
    <w:rPr>
      <w:rFonts w:eastAsiaTheme="majorEastAsia" w:cstheme="majorBidi"/>
      <w:i/>
      <w:iCs/>
      <w:color w:val="0F4761"/>
    </w:rPr>
  </w:style>
  <w:style w:type="paragraph" w:styleId="Heading 5">
    <w:name w:val="Heading 5"/>
    <w:basedOn w:val="Normal"/>
    <w:next w:val="Body Text"/>
    <w:pPr>
      <w:pBdr/>
      <w:keepNext/>
      <w:keepLines/>
      <w:outlineLvl w:val="4"/>
      <w:spacing w:before="80" w:after="40"/>
      <w:ind/>
    </w:pPr>
    <w:rPr>
      <w:rFonts w:eastAsiaTheme="majorEastAsia" w:cstheme="majorBidi"/>
      <w:color w:val="0F4761"/>
    </w:rPr>
  </w:style>
  <w:style w:type="character" w:styleId="Heading 5 Char">
    <w:name w:val="Heading 5 Char"/>
    <w:basedOn w:val="Default Paragraph Font"/>
    <w:rPr>
      <w:rFonts w:eastAsiaTheme="majorEastAsia" w:cstheme="majorBidi"/>
      <w:color w:val="0F4761"/>
    </w:rPr>
  </w:style>
  <w:style w:type="paragraph" w:styleId="Heading 6">
    <w:name w:val="Heading 6"/>
    <w:basedOn w:val="Normal"/>
    <w:next w:val="Body Text"/>
    <w:pPr>
      <w:pBdr/>
      <w:keepNext/>
      <w:keepLines/>
      <w:outlineLvl w:val="5"/>
      <w:spacing w:before="40" w:after="0"/>
      <w:ind/>
    </w:pPr>
    <w:rPr>
      <w:rFonts w:eastAsiaTheme="majorEastAsia" w:cstheme="majorBidi"/>
      <w:i/>
      <w:iCs/>
      <w:color w:val="595959"/>
    </w:rPr>
  </w:style>
  <w:style w:type="character" w:styleId="Heading 6 Char">
    <w:name w:val="Heading 6 Char"/>
    <w:basedOn w:val="Default Paragraph Font"/>
    <w:rPr>
      <w:rFonts w:eastAsiaTheme="majorEastAsia" w:cstheme="majorBidi"/>
      <w:i/>
      <w:iCs/>
      <w:color w:val="595959"/>
    </w:rPr>
  </w:style>
  <w:style w:type="paragraph" w:styleId="Heading 7">
    <w:name w:val="Heading 7"/>
    <w:basedOn w:val="Normal"/>
    <w:next w:val="Body Text"/>
    <w:pPr>
      <w:pBdr/>
      <w:keepNext/>
      <w:keepLines/>
      <w:outlineLvl w:val="6"/>
      <w:spacing w:before="40" w:after="0"/>
      <w:ind/>
    </w:pPr>
    <w:rPr>
      <w:rFonts w:eastAsiaTheme="majorEastAsia" w:cstheme="majorBidi"/>
      <w:color w:val="595959"/>
    </w:rPr>
  </w:style>
  <w:style w:type="character" w:styleId="Heading 7 Char">
    <w:name w:val="Heading 7 Char"/>
    <w:basedOn w:val="Default Paragraph Font"/>
    <w:rPr>
      <w:rFonts w:eastAsiaTheme="majorEastAsia" w:cstheme="majorBidi"/>
      <w:color w:val="595959"/>
    </w:rPr>
  </w:style>
  <w:style w:type="paragraph" w:styleId="Heading 8">
    <w:name w:val="Heading 8"/>
    <w:basedOn w:val="Normal"/>
    <w:next w:val="Body Text"/>
    <w:pPr>
      <w:pBdr/>
      <w:keepNext/>
      <w:keepLines/>
      <w:outlineLvl w:val="7"/>
      <w:spacing w:after="0"/>
      <w:ind/>
    </w:pPr>
    <w:rPr>
      <w:rFonts w:eastAsiaTheme="majorEastAsia" w:cstheme="majorBidi"/>
      <w:i/>
      <w:iCs/>
      <w:color w:val="272727"/>
    </w:rPr>
  </w:style>
  <w:style w:type="character" w:styleId="Heading 8 Char">
    <w:name w:val="Heading 8 Char"/>
    <w:basedOn w:val="Default Paragraph Font"/>
    <w:rPr>
      <w:rFonts w:eastAsiaTheme="majorEastAsia" w:cstheme="majorBidi"/>
      <w:i/>
      <w:iCs/>
      <w:color w:val="272727"/>
    </w:rPr>
  </w:style>
  <w:style w:type="paragraph" w:styleId="Heading 9">
    <w:name w:val="Heading 9"/>
    <w:basedOn w:val="Normal"/>
    <w:next w:val="Body Text"/>
    <w:pPr>
      <w:pBdr/>
      <w:keepNext/>
      <w:keepLines/>
      <w:outlineLvl w:val="8"/>
      <w:spacing w:after="0"/>
      <w:ind/>
    </w:pPr>
    <w:rPr>
      <w:rFonts w:eastAsiaTheme="majorEastAsia" w:cstheme="majorBidi"/>
      <w:color w:val="272727"/>
    </w:rPr>
  </w:style>
  <w:style w:type="character" w:styleId="Heading 9 Char">
    <w:name w:val="Heading 9 Char"/>
    <w:basedOn w:val="Default Paragraph Font"/>
    <w:rPr>
      <w:rFonts w:eastAsiaTheme="majorEastAsia" w:cstheme="majorBidi"/>
      <w:color w:val="272727"/>
    </w:rPr>
  </w:style>
  <w:style w:type="paragraph" w:styleId="Block Text">
    <w:name w:val="Block Text"/>
    <w:basedOn w:val="Body Text"/>
    <w:next w:val="Body Text"/>
    <w:pPr>
      <w:pBdr/>
      <w:spacing w:before="100" w:after="100"/>
      <w:ind w:left="480" w:right="480" w:firstLine="0"/>
    </w:pPr>
    <w:rPr/>
  </w:style>
  <w:style w:type="paragraph" w:styleId="Footnote Text">
    <w:name w:val="Footnote Text"/>
    <w:basedOn w:val="Normal"/>
    <w:next w:val="Footnote Text"/>
    <w:pPr>
      <w:pBdr/>
      <w:spacing/>
      <w:ind/>
    </w:pPr>
    <w:rPr/>
  </w:style>
  <w:style w:type="paragraph" w:styleId="Footnote Block Text">
    <w:name w:val="Footnote Block Text"/>
    <w:basedOn w:val="Footnote Text"/>
    <w:next w:val="Footnote Text"/>
    <w:pPr>
      <w:pBdr/>
      <w:spacing w:before="100" w:after="100"/>
      <w:ind w:left="480" w:right="480" w:firstLine="0"/>
    </w:pPr>
    <w:rPr/>
  </w:style>
  <w:style w:type="table" w:styleId="Table">
    <w:name w:val="Table"/>
    <w:next w:val="Table"/>
  </w:style>
  <w:style w:type="paragraph" w:styleId="Definition Term">
    <w:name w:val="Definition Term"/>
    <w:basedOn w:val="Normal"/>
    <w:pPr>
      <w:pBdr/>
      <w:keepNext/>
      <w:keepLines/>
      <w:spacing w:after="0"/>
      <w:ind/>
    </w:pPr>
    <w:rPr>
      <w:b/>
    </w:rPr>
  </w:style>
  <w:style w:type="paragraph" w:styleId="Definition">
    <w:name w:val="Definition"/>
    <w:basedOn w:val="Normal"/>
    <w:next w:val="Definition"/>
    <w:pPr>
      <w:pBdr/>
      <w:spacing/>
      <w:ind/>
    </w:pPr>
    <w:rPr/>
  </w:style>
  <w:style w:type="paragraph" w:styleId="Caption">
    <w:name w:val="Caption"/>
    <w:basedOn w:val="Normal"/>
    <w:next w:val="Caption"/>
    <w:pPr>
      <w:pBdr/>
      <w:spacing w:before="0" w:after="120"/>
      <w:ind/>
    </w:pPr>
    <w:rPr>
      <w:i/>
    </w:rPr>
  </w:style>
  <w:style w:type="character" w:styleId="Body Text Char">
    <w:name w:val="Body Text Char"/>
    <w:basedOn w:val="Default Paragraph Font"/>
    <w:rPr/>
  </w:style>
  <w:style w:type="paragraph" w:styleId="Table Caption">
    <w:name w:val="Table Caption"/>
    <w:basedOn w:val="Caption"/>
    <w:next w:val="Table Caption"/>
    <w:pPr>
      <w:pBdr/>
      <w:keepNext/>
      <w:spacing/>
      <w:ind/>
    </w:pPr>
    <w:rPr/>
  </w:style>
  <w:style w:type="paragraph" w:styleId="Image Caption">
    <w:name w:val="Image Caption"/>
    <w:basedOn w:val="Caption"/>
    <w:next w:val="Image Caption"/>
    <w:pPr>
      <w:pBdr/>
      <w:spacing/>
      <w:ind/>
    </w:pPr>
    <w:rPr/>
  </w:style>
  <w:style w:type="paragraph" w:styleId="Figure">
    <w:name w:val="Figure"/>
    <w:basedOn w:val="Normal"/>
    <w:next w:val="Figure"/>
    <w:pPr>
      <w:pBdr/>
      <w:spacing/>
      <w:ind/>
    </w:pPr>
    <w:rPr/>
  </w:style>
  <w:style w:type="paragraph" w:styleId="Captioned Figure">
    <w:name w:val="Captioned Figure"/>
    <w:basedOn w:val="Figure"/>
    <w:next w:val="Captioned Figure"/>
    <w:pPr>
      <w:pBdr/>
      <w:keepNext/>
      <w:spacing/>
      <w:ind/>
    </w:pPr>
    <w:rPr/>
  </w:style>
  <w:style w:type="character" w:styleId="Verbatim Char">
    <w:name w:val="Verbatim Char"/>
    <w:basedOn w:val="Body Text Char"/>
    <w:rPr>
      <w:rFonts w:ascii="Consolas" w:eastAsia="Consolas" w:hAnsi="Consolas"/>
      <w:sz w:val="22"/>
    </w:rPr>
  </w:style>
  <w:style w:type="character" w:styleId="Section Number">
    <w:name w:val="Section Number"/>
    <w:basedOn w:val="Body Text Char"/>
    <w:rPr/>
  </w:style>
  <w:style w:type="character" w:styleId="Footnote Reference">
    <w:name w:val="Footnote Reference"/>
    <w:basedOn w:val="Body Text Char"/>
    <w:rPr>
      <w:vertAlign w:val="superscript"/>
    </w:rPr>
  </w:style>
  <w:style w:type="character" w:styleId="Hyperlink">
    <w:name w:val="Hyperlink"/>
    <w:basedOn w:val="Body Text Char"/>
    <w:rPr>
      <w:color w:val="4F81BD"/>
    </w:rPr>
  </w:style>
  <w:style w:type="paragraph" w:styleId="TOC Heading">
    <w:name w:val="TOC Heading"/>
    <w:basedOn w:val="Heading 1"/>
    <w:next w:val="Body Text"/>
    <w:pPr>
      <w:pBdr/>
      <w:outlineLvl w:val="9"/>
      <w:spacing w:before="240" w:line="259" w:lineRule="auto"/>
      <w:ind/>
    </w:pPr>
    <w:rPr>
      <w:rFonts w:asciiTheme="majorHAnsi" w:eastAsiaTheme="majorEastAsia" w:hAnsiTheme="majorHAnsi" w:cstheme="majorBidi"/>
      <w:b w:val="0"/>
      <w:color w:val="365F91"/>
    </w:rPr>
  </w:style>
  <w:style w:type="paragraph" w:styleId="Source Code">
    <w:name w:val="Source Code"/>
    <w:basedOn w:val="Normal"/>
    <w:next w:val="Source Code"/>
    <w:link w:val="Verbatim Char"/>
    <w:pPr>
      <w:pBdr/>
      <w:spacing/>
      <w:ind/>
    </w:pPr>
    <w:rPr/>
  </w:style>
  <w:style w:type="character" w:styleId="KeywordTok">
    <w:name w:val="KeywordTok"/>
    <w:basedOn w:val="Verbatim Char"/>
    <w:rPr>
      <w:b/>
      <w:color w:val="007020"/>
    </w:rPr>
  </w:style>
  <w:style w:type="character" w:styleId="DataTypeTok">
    <w:name w:val="DataTypeTok"/>
    <w:basedOn w:val="Verbatim Char"/>
    <w:rPr>
      <w:color w:val="902000"/>
    </w:rPr>
  </w:style>
  <w:style w:type="character" w:styleId="DecValTok">
    <w:name w:val="DecValTok"/>
    <w:basedOn w:val="Verbatim Char"/>
    <w:rPr>
      <w:color w:val="40A070"/>
    </w:rPr>
  </w:style>
  <w:style w:type="character" w:styleId="BaseNTok">
    <w:name w:val="BaseNTok"/>
    <w:basedOn w:val="Verbatim Char"/>
    <w:rPr>
      <w:color w:val="40A070"/>
    </w:rPr>
  </w:style>
  <w:style w:type="character" w:styleId="FloatTok">
    <w:name w:val="FloatTok"/>
    <w:basedOn w:val="Verbatim Char"/>
    <w:rPr>
      <w:color w:val="40A070"/>
    </w:rPr>
  </w:style>
  <w:style w:type="character" w:styleId="ConstantTok">
    <w:name w:val="ConstantTok"/>
    <w:basedOn w:val="Verbatim Char"/>
    <w:rPr>
      <w:color w:val="880000"/>
    </w:rPr>
  </w:style>
  <w:style w:type="character" w:styleId="CharTok">
    <w:name w:val="CharTok"/>
    <w:basedOn w:val="Verbatim Char"/>
    <w:rPr>
      <w:color w:val="4070A0"/>
    </w:rPr>
  </w:style>
  <w:style w:type="character" w:styleId="SpecialCharTok">
    <w:name w:val="SpecialCharTok"/>
    <w:basedOn w:val="Verbatim Char"/>
    <w:rPr>
      <w:color w:val="4070A0"/>
    </w:rPr>
  </w:style>
  <w:style w:type="character" w:styleId="StringTok">
    <w:name w:val="StringTok"/>
    <w:basedOn w:val="Verbatim Char"/>
    <w:rPr>
      <w:color w:val="4070A0"/>
    </w:rPr>
  </w:style>
  <w:style w:type="character" w:styleId="VerbatimStringTok">
    <w:name w:val="VerbatimStringTok"/>
    <w:basedOn w:val="Verbatim Char"/>
    <w:rPr>
      <w:color w:val="4070A0"/>
    </w:rPr>
  </w:style>
  <w:style w:type="character" w:styleId="SpecialStringTok">
    <w:name w:val="SpecialStringTok"/>
    <w:basedOn w:val="Verbatim Char"/>
    <w:rPr>
      <w:color w:val="BB6688"/>
    </w:rPr>
  </w:style>
  <w:style w:type="character" w:styleId="ImportTok">
    <w:name w:val="ImportTok"/>
    <w:basedOn w:val="Verbatim Char"/>
    <w:rPr>
      <w:b/>
      <w:color w:val="008000"/>
    </w:rPr>
  </w:style>
  <w:style w:type="character" w:styleId="CommentTok">
    <w:name w:val="CommentTok"/>
    <w:basedOn w:val="Verbatim Char"/>
    <w:rPr>
      <w:i/>
      <w:color w:val="60A0B0"/>
    </w:rPr>
  </w:style>
  <w:style w:type="character" w:styleId="DocumentationTok">
    <w:name w:val="DocumentationTok"/>
    <w:basedOn w:val="Verbatim Char"/>
    <w:rPr>
      <w:i/>
      <w:color w:val="BA2121"/>
    </w:rPr>
  </w:style>
  <w:style w:type="character" w:styleId="AnnotationTok">
    <w:name w:val="AnnotationTok"/>
    <w:basedOn w:val="Verbatim Char"/>
    <w:rPr>
      <w:b/>
      <w:i/>
      <w:color w:val="60A0B0"/>
    </w:rPr>
  </w:style>
  <w:style w:type="character" w:styleId="CommentVarTok">
    <w:name w:val="CommentVarTok"/>
    <w:basedOn w:val="Verbatim Char"/>
    <w:rPr>
      <w:b/>
      <w:i/>
      <w:color w:val="60A0B0"/>
    </w:rPr>
  </w:style>
  <w:style w:type="character" w:styleId="OtherTok">
    <w:name w:val="OtherTok"/>
    <w:basedOn w:val="Verbatim Char"/>
    <w:rPr>
      <w:color w:val="007020"/>
    </w:rPr>
  </w:style>
  <w:style w:type="character" w:styleId="FunctionTok">
    <w:name w:val="FunctionTok"/>
    <w:basedOn w:val="Verbatim Char"/>
    <w:rPr>
      <w:color w:val="06287E"/>
    </w:rPr>
  </w:style>
  <w:style w:type="character" w:styleId="VariableTok">
    <w:name w:val="VariableTok"/>
    <w:basedOn w:val="Verbatim Char"/>
    <w:rPr>
      <w:color w:val="19177C"/>
    </w:rPr>
  </w:style>
  <w:style w:type="character" w:styleId="ControlFlowTok">
    <w:name w:val="ControlFlowTok"/>
    <w:basedOn w:val="Verbatim Char"/>
    <w:rPr>
      <w:b/>
      <w:color w:val="007020"/>
    </w:rPr>
  </w:style>
  <w:style w:type="character" w:styleId="OperatorTok">
    <w:name w:val="OperatorTok"/>
    <w:basedOn w:val="Verbatim Char"/>
    <w:rPr>
      <w:color w:val="666666"/>
    </w:rPr>
  </w:style>
  <w:style w:type="character" w:styleId="BuiltInTok">
    <w:name w:val="BuiltInTok"/>
    <w:basedOn w:val="Verbatim Char"/>
    <w:rPr>
      <w:color w:val="008000"/>
    </w:rPr>
  </w:style>
  <w:style w:type="character" w:styleId="ExtensionTok">
    <w:name w:val="ExtensionTok"/>
    <w:basedOn w:val="Verbatim Char"/>
    <w:rPr/>
  </w:style>
  <w:style w:type="character" w:styleId="PreprocessorTok">
    <w:name w:val="PreprocessorTok"/>
    <w:basedOn w:val="Verbatim Char"/>
    <w:rPr>
      <w:color w:val="BC7A00"/>
    </w:rPr>
  </w:style>
  <w:style w:type="character" w:styleId="AttributeTok">
    <w:name w:val="AttributeTok"/>
    <w:basedOn w:val="Verbatim Char"/>
    <w:rPr>
      <w:color w:val="7D9029"/>
    </w:rPr>
  </w:style>
  <w:style w:type="character" w:styleId="RegionMarkerTok">
    <w:name w:val="RegionMarkerTok"/>
    <w:basedOn w:val="Verbatim Char"/>
    <w:rPr/>
  </w:style>
  <w:style w:type="character" w:styleId="InformationTok">
    <w:name w:val="InformationTok"/>
    <w:basedOn w:val="Verbatim Char"/>
    <w:rPr>
      <w:b/>
      <w:i/>
      <w:color w:val="60A0B0"/>
    </w:rPr>
  </w:style>
  <w:style w:type="character" w:styleId="WarningTok">
    <w:name w:val="WarningTok"/>
    <w:basedOn w:val="Verbatim Char"/>
    <w:rPr>
      <w:b/>
      <w:i/>
      <w:color w:val="60A0B0"/>
    </w:rPr>
  </w:style>
  <w:style w:type="character" w:styleId="AlertTok">
    <w:name w:val="AlertTok"/>
    <w:basedOn w:val="Verbatim Char"/>
    <w:rPr>
      <w:b/>
      <w:color w:val="FF0000"/>
    </w:rPr>
  </w:style>
  <w:style w:type="character" w:styleId="ErrorTok">
    <w:name w:val="ErrorTok"/>
    <w:basedOn w:val="Verbatim Char"/>
    <w:rPr>
      <w:b/>
      <w:color w:val="FF0000"/>
    </w:rPr>
  </w:style>
  <w:style w:type="character" w:styleId="NormalTok">
    <w:name w:val="NormalTok"/>
    <w:basedOn w:val="Verbatim Char"/>
    <w:rPr/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Aptos Display" panose="02110004020202020204"/>
        <a:ea typeface="" panose="02110004020202020204"/>
        <a:cs typeface="" panose="0211000402020202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 panose="02110004020202020204"/>
        <a:cs typeface="" panose="0211000402020202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