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2"/>
        <w:spacing/>
        <w:ind/>
        <w:rPr/>
      </w:pPr>
      <w:bookmarkStart w:name="X24b7cb4ac05cfa9de60cb917a4613955dca8573" w:id="0"/>
      <w:r>
        <w:rPr>
          <w:u w:val="single"/>
        </w:rPr>
        <w:t xml:space="preserve">Patient Leaflet in accordance with the Pharmacists' Regulations</w:t>
      </w:r>
      <w:r>
        <w:rPr>
          <w:u w:val="single"/>
        </w:rPr>
        <w:t xml:space="preserve"> </w:t>
      </w:r>
      <w:r>
        <w:rPr>
          <w:u w:val="single"/>
        </w:rPr>
        <w:t xml:space="preserve">(</w:t>
      </w:r>
      <w:r>
        <w:rPr>
          <w:u w:val="single"/>
        </w:rPr>
        <w:t xml:space="preserve">Preparations</w:t>
      </w:r>
      <w:r>
        <w:rPr>
          <w:u w:val="single"/>
        </w:rPr>
        <w:t xml:space="preserve">)</w:t>
      </w:r>
      <w:r>
        <w:rPr>
          <w:u w:val="single"/>
        </w:rPr>
        <w:t xml:space="preserve"> </w:t>
      </w:r>
      <w:r>
        <w:rPr>
          <w:u w:val="single"/>
        </w:rPr>
        <w:t xml:space="preserve">1986</w:t>
      </w:r>
    </w:p>
    <w:p>
      <w:pPr>
        <w:pBdr/>
        <w:pStyle w:val="Block Text"/>
        <w:spacing/>
        <w:ind/>
        <w:rPr/>
      </w:pPr>
      <w:r>
        <w:rPr/>
        <w:t xml:space="preserve">This medicine is dispensed with a doctor's prescription only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2490"/>
        <w:gridCol w:w="2490"/>
        <w:gridCol w:w="2394"/>
        <w:gridCol w:w="210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Etopan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500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400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300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200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Tablets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Tablets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Capsules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Capsules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tablet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tablet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</w:t>
            </w:r>
            <w:r>
              <w:rPr/>
              <w:t xml:space="preserve">capsule </w:t>
            </w:r>
            <w:r>
              <w:rPr/>
              <w:t xml:space="preserve">contains: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>
                <w:b/>
                <w:bCs/>
              </w:rPr>
              <w:t xml:space="preserve">Active </w:t>
            </w:r>
            <w:r>
              <w:rPr>
                <w:b/>
                <w:bCs/>
              </w:rPr>
              <w:t xml:space="preserve">ingredie</w:t>
            </w:r>
            <w:r>
              <w:rPr>
                <w:b/>
                <w:bCs/>
              </w:rPr>
              <w:t xml:space="preserve">nt</w:t>
            </w:r>
          </w:p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Each </w:t>
            </w:r>
            <w:r>
              <w:rPr/>
              <w:t xml:space="preserve">capsule </w:t>
            </w:r>
            <w:r>
              <w:rPr/>
              <w:t xml:space="preserve">contains: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500</w:t>
            </w:r>
            <w:r>
              <w:rPr/>
              <w:t xml:space="preserve"> </w:t>
            </w:r>
            <w:r>
              <w:rPr/>
              <w:t xml:space="preserve">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400</w:t>
            </w:r>
            <w:r>
              <w:rPr/>
              <w:t xml:space="preserve"> </w:t>
            </w:r>
            <w:r>
              <w:rPr/>
              <w:t xml:space="preserve">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300</w:t>
            </w:r>
            <w:r>
              <w:rPr/>
              <w:t xml:space="preserve"> </w:t>
            </w:r>
            <w:r>
              <w:rPr/>
              <w:t xml:space="preserve">mg </w:t>
            </w:r>
            <w:r>
              <w:rPr/>
              <w:t xml:space="preserve">etodolac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200</w:t>
            </w:r>
            <w:r>
              <w:rPr/>
              <w:t xml:space="preserve"> </w:t>
            </w:r>
            <w:r>
              <w:rPr/>
              <w:t xml:space="preserve">mg </w:t>
            </w:r>
            <w:r>
              <w:rPr/>
              <w:t xml:space="preserve">etodolac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500 </w:t>
            </w:r>
            <w:r>
              <w:rPr/>
              <w:t xml:space="preserve">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400 </w:t>
            </w:r>
            <w:r>
              <w:rPr/>
              <w:t xml:space="preserve">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(etodolac </w:t>
            </w:r>
            <w:r>
              <w:rPr/>
              <w:t xml:space="preserve">300 mg)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left"/>
              <w:rPr/>
            </w:pPr>
            <w:r>
              <w:rPr/>
              <w:t xml:space="preserve">(etodolac 200 mg)</w:t>
            </w:r>
          </w:p>
        </w:tc>
      </w:tr>
    </w:tbl>
    <w:p>
      <w:pPr>
        <w:pBdr/>
        <w:pStyle w:val="Block Text"/>
        <w:spacing/>
        <w:ind/>
        <w:rPr/>
      </w:pPr>
      <w:r>
        <w:rPr/>
        <w:t xml:space="preserve">Inactive ingredients and allergens: see section 2 "Important information about some of </w:t>
      </w:r>
      <w:r>
        <w:rPr/>
        <w:t xml:space="preserve">the </w:t>
      </w:r>
      <w:r>
        <w:rPr/>
        <w:t xml:space="preserve">ingredients of the medicine" and section 6 "Further information".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Read this entire leaflet carefully before using this medicine.</w:t>
      </w:r>
      <w:r>
        <w:rPr/>
        <w:t xml:space="preserve"> </w:t>
      </w:r>
      <w:r>
        <w:rPr/>
        <w:t xml:space="preserve">This leaflet contains </w:t>
      </w:r>
      <w:r>
        <w:rPr/>
        <w:t xml:space="preserve">concise information about the medicine.</w:t>
      </w:r>
      <w:r>
        <w:rPr/>
        <w:t xml:space="preserve"> </w:t>
      </w:r>
      <w:r>
        <w:rPr/>
        <w:t xml:space="preserve">If you have any further questions,</w:t>
      </w:r>
      <w:r>
        <w:rPr/>
        <w:t xml:space="preserve"> </w:t>
      </w:r>
      <w:r>
        <w:rPr/>
        <w:t xml:space="preserve">ask your </w:t>
      </w:r>
      <w:r>
        <w:rPr/>
        <w:t xml:space="preserve">doctor or pharmacist.</w:t>
      </w:r>
    </w:p>
    <w:p>
      <w:pPr>
        <w:pBdr/>
        <w:pStyle w:val="Block Text"/>
        <w:spacing/>
        <w:ind/>
        <w:rPr/>
      </w:pPr>
      <w:r>
        <w:rPr/>
        <w:t xml:space="preserve">This medicine has been prescribed to treat your illness.</w:t>
      </w:r>
      <w:r>
        <w:rPr/>
        <w:t xml:space="preserve"> </w:t>
      </w:r>
      <w:r>
        <w:rPr/>
        <w:t xml:space="preserve">Do not pass it on to others.</w:t>
      </w:r>
      <w:r>
        <w:rPr/>
        <w:t xml:space="preserve"> </w:t>
      </w:r>
      <w:r>
        <w:rPr/>
        <w:t xml:space="preserve">It </w:t>
      </w:r>
      <w:r>
        <w:rPr/>
        <w:t xml:space="preserve">may harm them even if it seems to you that their illness is similar.</w:t>
      </w:r>
    </w:p>
    <w:bookmarkEnd w:id="0"/>
    <w:p>
      <w:pPr>
        <w:pBdr/>
        <w:pStyle w:val="Heading 1"/>
        <w:spacing/>
        <w:ind/>
        <w:rPr/>
      </w:pPr>
      <w:bookmarkStart w:name="למה_מיועדת_התרופה" w:id="1"/>
      <w:r>
        <w:rPr/>
        <w:t xml:space="preserve">1.</w:t>
      </w:r>
      <w:r>
        <w:rPr/>
        <w:t xml:space="preserve"> </w:t>
      </w:r>
      <w:r>
        <w:rPr/>
        <w:t xml:space="preserve">What is the medicine intended for?</w:t>
      </w:r>
    </w:p>
    <w:p>
      <w:pPr>
        <w:pBdr/>
        <w:pStyle w:val="Block Text"/>
        <w:spacing/>
        <w:ind/>
        <w:rPr/>
      </w:pPr>
      <w:r>
        <w:rPr/>
        <w:t xml:space="preserve">For the treatment of signs and symptoms of osteoarthritis and rheumatoid arthritis. For </w:t>
      </w:r>
      <w:r>
        <w:rPr/>
        <w:t xml:space="preserve">the </w:t>
      </w:r>
      <w:r>
        <w:rPr/>
        <w:t xml:space="preserve">treatment of pain.</w:t>
      </w:r>
    </w:p>
    <w:p>
      <w:pPr>
        <w:pBdr/>
        <w:pStyle w:val="Heading 2"/>
        <w:spacing/>
        <w:ind/>
        <w:rPr/>
      </w:pPr>
      <w:bookmarkStart w:name="X32ef5b1d9f782054d26731bb886d7edc889a27f" w:id="2"/>
      <w:r>
        <w:rPr/>
        <w:t xml:space="preserve">Therapeutic group:</w:t>
      </w:r>
      <w:r>
        <w:rPr/>
        <w:t xml:space="preserve"> </w:t>
      </w:r>
      <w:r>
        <w:rPr/>
        <w:t xml:space="preserve">Non-steroidal anti-inflammatory drugs</w:t>
      </w:r>
      <w:r>
        <w:rPr/>
        <w:t xml:space="preserve"> </w:t>
      </w:r>
      <w:r>
        <w:rPr/>
        <w:t xml:space="preserve">(NSAIDs).</w:t>
      </w:r>
    </w:p>
    <w:bookmarkEnd w:id="2"/>
    <w:bookmarkEnd w:id="1"/>
    <w:p>
      <w:pPr>
        <w:pBdr/>
        <w:pStyle w:val="Heading 1"/>
        <w:spacing/>
        <w:ind/>
        <w:rPr/>
      </w:pPr>
      <w:bookmarkStart w:name="לפני_השימוש_בתרופה" w:id="3"/>
      <w:r>
        <w:rPr/>
        <w:t xml:space="preserve">2. Before using the medicine</w:t>
      </w:r>
    </w:p>
    <w:bookmarkEnd w:id="3"/>
    <w:p>
      <w:pPr>
        <w:pBdr/>
        <w:pStyle w:val="Heading 1"/>
        <w:spacing/>
        <w:ind/>
        <w:rPr/>
      </w:pPr>
      <w:bookmarkStart w:name="אין_להשתמש_בתרופה_אם" w:id="4"/>
      <w:r>
        <w:rPr/>
        <w:t xml:space="preserve">Do not use the medicine if: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7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are sensitive</w:t>
            </w:r>
            <w:r>
              <w:rPr/>
              <w:t xml:space="preserve"> </w:t>
            </w:r>
            <w:r>
              <w:rPr/>
              <w:t xml:space="preserve">(</w:t>
            </w:r>
            <w:r>
              <w:rPr/>
              <w:t xml:space="preserve">allergic</w:t>
            </w:r>
            <w:r>
              <w:rPr/>
              <w:t xml:space="preserve">)</w:t>
            </w:r>
            <w:r>
              <w:rPr/>
              <w:t xml:space="preserve"> </w:t>
            </w:r>
            <w:r>
              <w:rPr/>
              <w:t xml:space="preserve">to the active ingredient</w:t>
            </w:r>
            <w:r>
              <w:rPr/>
              <w:t xml:space="preserve"> </w:t>
            </w:r>
            <w:r>
              <w:rPr/>
              <w:t xml:space="preserve">(</w:t>
            </w:r>
            <w:r>
              <w:rPr/>
              <w:t xml:space="preserve">etodolac</w:t>
            </w:r>
            <w:r>
              <w:rPr/>
              <w:t xml:space="preserve">)</w:t>
            </w:r>
            <w:r>
              <w:rPr/>
              <w:t xml:space="preserve"> </w:t>
            </w:r>
            <w:r>
              <w:rPr/>
              <w:t xml:space="preserve">or to any of the other </w:t>
            </w:r>
            <w:r>
              <w:rPr/>
              <w:t xml:space="preserve">ingredients the medicine contains</w:t>
            </w:r>
            <w:r>
              <w:rPr/>
              <w:t xml:space="preserve"> </w:t>
            </w:r>
            <w:r>
              <w:rPr/>
              <w:t xml:space="preserve">(</w:t>
            </w:r>
            <w:r>
              <w:rPr/>
              <w:t xml:space="preserve">see section</w:t>
            </w:r>
            <w:r>
              <w:rPr/>
              <w:t xml:space="preserve"> </w:t>
            </w:r>
            <w:r>
              <w:rPr/>
              <w:t xml:space="preserve">6).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suffer from</w:t>
            </w:r>
            <w:r>
              <w:rPr/>
              <w:t xml:space="preserve"> </w:t>
            </w:r>
            <w:r>
              <w:rPr>
                <w:b/>
                <w:bCs/>
              </w:rPr>
              <w:t xml:space="preserve">severe heart failure</w:t>
            </w:r>
            <w:r>
              <w:rPr/>
              <w:t xml:space="preserve">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have an ulcer</w:t>
            </w:r>
            <w:r>
              <w:rPr/>
              <w:t xml:space="preserve"> </w:t>
            </w:r>
            <w:r>
              <w:rPr/>
              <w:t xml:space="preserve">(</w:t>
            </w:r>
            <w:r>
              <w:rPr/>
              <w:t xml:space="preserve">peptic ulcer, a small lesion or hole in the stomach or duodenum</w:t>
            </w:r>
            <w:r>
              <w:rPr/>
              <w:t xml:space="preserve">)</w:t>
            </w:r>
            <w:r>
              <w:rPr/>
              <w:t xml:space="preserve"> </w:t>
            </w:r>
            <w:r>
              <w:rPr/>
              <w:t xml:space="preserve">or </w:t>
            </w:r>
            <w:r>
              <w:rPr/>
              <w:t xml:space="preserve">bleeding in the stomach, or have had two or more episodes of ulcers,</w:t>
            </w:r>
            <w:r>
              <w:rPr/>
              <w:t xml:space="preserve"> </w:t>
            </w:r>
            <w:r>
              <w:rPr/>
              <w:t xml:space="preserve">bleeding or </w:t>
            </w:r>
            <w:r>
              <w:rPr/>
              <w:t xml:space="preserve">perforation of the stomach.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have ever had an</w:t>
            </w:r>
            <w:r>
              <w:rPr/>
              <w:t xml:space="preserve"> </w:t>
            </w:r>
            <w:r>
              <w:rPr>
                <w:b/>
                <w:bCs/>
              </w:rPr>
              <w:t xml:space="preserve">allergic reaction or asthmatic reaction</w:t>
            </w:r>
            <w:r>
              <w:rPr/>
              <w:t xml:space="preserve"> </w:t>
            </w:r>
            <w:r>
              <w:rPr/>
              <w:t xml:space="preserve">(wheezing, itching or skin </w:t>
            </w:r>
            <w:r>
              <w:rPr/>
              <w:t xml:space="preserve">rash) after taking aspirin, Etopan or another non-steroidal anti-inflammatory </w:t>
            </w:r>
            <w:r>
              <w:rPr/>
              <w:t xml:space="preserve">drug.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suffer from severe liver failure and severe kidney failure.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>
                <w:b/>
                <w:bCs/>
              </w:rPr>
              <w:t xml:space="preserve">You are in the last trimester of pregnancy</w:t>
            </w:r>
            <w:r>
              <w:rPr/>
              <w:t xml:space="preserve">.</w:t>
            </w:r>
          </w:p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rPr/>
            </w:pPr>
            <w:r>
              <w:rPr/>
              <w:t xml:space="preserve">You have previously had stomach or intestinal bleeding as a result of taking a non-</w:t>
            </w:r>
            <w:r>
              <w:rPr/>
              <w:t xml:space="preserve">steroidal </w:t>
            </w:r>
            <w:r>
              <w:rPr/>
              <w:t xml:space="preserve">anti-inflammatory drug.</w:t>
            </w:r>
          </w:p>
        </w:tc>
      </w:tr>
    </w:tbl>
    <w:p>
      <w:pPr>
        <w:pBdr/>
        <w:pStyle w:val="Heading 2"/>
        <w:spacing/>
        <w:ind/>
        <w:rPr/>
      </w:pPr>
      <w:bookmarkStart w:name="section" w:id="5"/>
    </w:p>
    <w:bookmarkEnd w:id="5"/>
    <w:p>
      <w:pPr>
        <w:pBdr/>
        <w:pStyle w:val="Heading 2"/>
        <w:spacing/>
        <w:ind/>
        <w:rPr/>
      </w:pPr>
      <w:bookmarkStart w:name="אזהרות_מיוחדות_הנוגעות_לשימוש_בתרופה" w:id="6"/>
      <w:r>
        <w:rPr/>
        <w:t xml:space="preserve">Special warnings regarding the use of the medicine</w:t>
      </w:r>
    </w:p>
    <w:bookmarkEnd w:id="6"/>
    <w:p>
      <w:pPr>
        <w:pBdr/>
        <w:pStyle w:val="Heading 2"/>
        <w:spacing/>
        <w:ind/>
        <w:rPr/>
      </w:pPr>
      <w:bookmarkStart w:name="לפני_הטיפול_באתופן_ספר_לרופא_אם" w:id="7"/>
      <w:r>
        <w:rPr/>
        <w:t xml:space="preserve">Before treatment with Etopan, tell the doctor if: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kidney, heart</w:t>
      </w:r>
      <w:r>
        <w:rPr/>
        <w:t xml:space="preserve"> </w:t>
      </w:r>
      <w:r>
        <w:rPr/>
        <w:t xml:space="preserve">or liver disease, or you suffer from a blood disorder, especially if </w:t>
      </w:r>
      <w:r>
        <w:rPr/>
        <w:t xml:space="preserve">you are also taking diuretics. </w:t>
      </w:r>
      <w:r>
        <w:rPr/>
        <w:t xml:space="preserve">The dose should be as low as possible and you should have </w:t>
      </w:r>
      <w:r>
        <w:rPr/>
        <w:t xml:space="preserve">regular check-ups.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are already on long-term</w:t>
      </w:r>
      <w:r>
        <w:rPr/>
        <w:t xml:space="preserve"> </w:t>
      </w:r>
      <w:r>
        <w:rPr/>
        <w:t xml:space="preserve">therapy with a medicine other than Etopan,</w:t>
      </w:r>
      <w:r>
        <w:rPr/>
        <w:t xml:space="preserve"> </w:t>
      </w:r>
      <w:r>
        <w:rPr/>
        <w:t xml:space="preserve">since the doctor </w:t>
      </w:r>
      <w:r>
        <w:rPr/>
        <w:t xml:space="preserve">will want to arrange regular check-ups,</w:t>
      </w:r>
      <w:r>
        <w:rPr/>
        <w:t xml:space="preserve"> </w:t>
      </w:r>
      <w:r>
        <w:rPr/>
        <w:t xml:space="preserve">especially if you are elderly.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from fluid retention</w:t>
      </w:r>
      <w:r>
        <w:rPr/>
        <w:t xml:space="preserve"> </w:t>
      </w:r>
      <w:r>
        <w:rPr/>
        <w:t xml:space="preserve">(</w:t>
      </w:r>
      <w:r>
        <w:rPr/>
        <w:t xml:space="preserve">swelling of the legs,</w:t>
      </w:r>
      <w:r>
        <w:rPr/>
        <w:t xml:space="preserve"> </w:t>
      </w:r>
      <w:r>
        <w:rPr/>
        <w:t xml:space="preserve">ankles or feet</w:t>
      </w:r>
      <w:r>
        <w:rPr/>
        <w:t xml:space="preserve">)</w:t>
      </w:r>
      <w:r>
        <w:rPr/>
        <w:t xml:space="preserve">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from high blood pressure or heart failure.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suffer or have suffered in the past from asthma or breathing difficulties.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You have heart problems,</w:t>
      </w:r>
      <w:r>
        <w:rPr/>
        <w:t xml:space="preserve"> </w:t>
      </w:r>
      <w:r>
        <w:rPr/>
        <w:t xml:space="preserve">have had a stroke in the past or you think you may be at risk </w:t>
      </w:r>
      <w:r>
        <w:rPr/>
        <w:t xml:space="preserve">for these conditions</w:t>
      </w:r>
      <w:r>
        <w:rPr/>
        <w:t xml:space="preserve"> </w:t>
      </w:r>
      <w:r>
        <w:rPr/>
        <w:t xml:space="preserve">(</w:t>
      </w:r>
      <w:r>
        <w:rPr/>
        <w:t xml:space="preserve">for example if you have high blood pressure,</w:t>
      </w:r>
      <w:r>
        <w:rPr/>
        <w:t xml:space="preserve"> </w:t>
      </w:r>
      <w:r>
        <w:rPr/>
        <w:t xml:space="preserve">diabetes,</w:t>
      </w:r>
      <w:r>
        <w:rPr/>
        <w:t xml:space="preserve"> </w:t>
      </w:r>
      <w:r>
        <w:rPr/>
        <w:t xml:space="preserve">high </w:t>
      </w:r>
      <w:r>
        <w:rPr/>
        <w:t xml:space="preserve">cholesterol or you are a smoker</w:t>
      </w:r>
      <w:r>
        <w:rPr/>
        <w:t xml:space="preserve">)</w:t>
      </w:r>
      <w:r>
        <w:rPr/>
        <w:t xml:space="preserve">.</w:t>
      </w:r>
    </w:p>
    <w:p>
      <w:pPr>
        <w:pBdr/>
        <w:pStyle w:val="First Paragraph"/>
        <w:spacing/>
        <w:ind/>
        <w:rPr/>
      </w:pPr>
      <w:r>
        <w:rPr/>
        <w:t xml:space="preserve">Medicines like Etopan may slightly increase the risk of heart attack or stroke.</w:t>
      </w:r>
      <w:r>
        <w:rPr/>
        <w:t xml:space="preserve"> </w:t>
      </w:r>
      <w:r>
        <w:rPr/>
        <w:t xml:space="preserve">The risk is higher </w:t>
      </w:r>
      <w:r>
        <w:rPr/>
        <w:t xml:space="preserve">at high doses and with prolonged treatment.</w:t>
      </w:r>
      <w:r>
        <w:rPr/>
        <w:t xml:space="preserve"> </w:t>
      </w:r>
      <w:r>
        <w:rPr/>
        <w:t xml:space="preserve">Do not exceed the recommended dose or duration of </w:t>
      </w:r>
      <w:r>
        <w:rPr/>
        <w:t xml:space="preserve">treatment.</w:t>
      </w:r>
    </w:p>
    <w:p>
      <w:pPr>
        <w:pBdr/>
        <w:pStyle w:val="Body Text"/>
        <w:spacing/>
        <w:ind/>
        <w:rPr/>
      </w:pPr>
      <w:r>
        <w:rPr>
          <w:b/>
          <w:bCs/>
        </w:rPr>
        <w:t xml:space="preserve">Serious gastrointestinal side effects</w:t>
      </w:r>
      <w:r>
        <w:rPr/>
        <w:t xml:space="preserve"> </w:t>
      </w:r>
      <w:r>
        <w:rPr/>
        <w:t xml:space="preserve">such as bleeding, ulceration and perforation can occur at </w:t>
      </w:r>
      <w:r>
        <w:rPr/>
        <w:t xml:space="preserve">any time during treatment with or </w:t>
      </w:r>
      <w:r>
        <w:rPr/>
        <w:t xml:space="preserve">without warning symptoms in patients treated with non-</w:t>
      </w:r>
      <w:r>
        <w:rPr/>
        <w:t xml:space="preserve">steroidal anti-inflammatory drugs. If </w:t>
      </w:r>
      <w:r>
        <w:rPr/>
        <w:t xml:space="preserve">you have any sign of gastrointestinal bleeding,</w:t>
      </w:r>
      <w:r>
        <w:rPr/>
        <w:t xml:space="preserve"> </w:t>
      </w:r>
      <w:r>
        <w:rPr>
          <w:b/>
          <w:bCs/>
        </w:rPr>
        <w:t xml:space="preserve">stop taking </w:t>
      </w:r>
      <w:r>
        <w:rPr>
          <w:b/>
          <w:bCs/>
        </w:rPr>
        <w:t xml:space="preserve">Etopan immediately</w:t>
      </w:r>
      <w:r>
        <w:rPr/>
        <w:t xml:space="preserve">.</w:t>
      </w:r>
    </w:p>
    <w:p>
      <w:pPr>
        <w:pBdr/>
        <w:pStyle w:val="Body Text"/>
        <w:spacing/>
        <w:ind/>
        <w:rPr/>
      </w:pPr>
      <w:r>
        <w:rPr/>
        <w:t xml:space="preserve">If you are having a blood or urine test, inform the doctor that you are taking Etopan as this </w:t>
      </w:r>
      <w:r>
        <w:rPr/>
        <w:t xml:space="preserve">medicine can affect the results.</w:t>
      </w:r>
    </w:p>
    <w:bookmarkEnd w:id="7"/>
    <w:p>
      <w:pPr>
        <w:pBdr/>
        <w:pStyle w:val="Heading 2"/>
        <w:spacing/>
        <w:ind/>
        <w:rPr/>
      </w:pPr>
      <w:bookmarkStart w:name="ילדים_ומתבגרים" w:id="8"/>
      <w:r>
        <w:rPr/>
        <w:t xml:space="preserve">Children and adolescents</w:t>
      </w:r>
    </w:p>
    <w:bookmarkEnd w:id="8"/>
    <w:p>
      <w:pPr>
        <w:pBdr/>
        <w:pStyle w:val="Heading 2"/>
        <w:spacing/>
        <w:ind/>
        <w:rPr/>
      </w:pPr>
      <w:bookmarkStart w:name="אתופן_אינו_מומלץ_לשימוש_בילדים." w:id="9"/>
      <w:r>
        <w:rPr/>
        <w:t xml:space="preserve">Etopan is not recommended for use in children.</w:t>
      </w:r>
    </w:p>
    <w:bookmarkEnd w:id="9"/>
    <w:p>
      <w:pPr>
        <w:pBdr/>
        <w:pStyle w:val="Heading 2"/>
        <w:spacing/>
        <w:ind/>
        <w:rPr/>
      </w:pPr>
      <w:bookmarkStart w:name="תגובות_בין_תרופתיות" w:id="10"/>
      <w:r>
        <w:rPr/>
        <w:t xml:space="preserve">Drug interactions</w:t>
      </w:r>
    </w:p>
    <w:bookmarkEnd w:id="10"/>
    <w:p>
      <w:pPr>
        <w:pBdr/>
        <w:pStyle w:val="Heading 2"/>
        <w:spacing/>
        <w:ind/>
        <w:rPr/>
      </w:pPr>
      <w:bookmarkStart w:name="X98eaa7fdf5fda297207972263a883e5147c02e2" w:id="11"/>
      <w:r>
        <w:rPr/>
        <w:t xml:space="preserve">If you are taking or have recently taken other medicines, including non-</w:t>
      </w:r>
      <w:r>
        <w:rPr/>
        <w:t xml:space="preserve">prescription medicines </w:t>
      </w:r>
      <w:r>
        <w:rPr/>
        <w:t xml:space="preserve">and nutritional supplements,</w:t>
      </w:r>
      <w:r>
        <w:rPr/>
        <w:t xml:space="preserve"> </w:t>
      </w:r>
      <w:r>
        <w:rPr/>
        <w:t xml:space="preserve">tell your doctor or </w:t>
      </w:r>
      <w:r>
        <w:rPr/>
        <w:t xml:space="preserve">pharmacist.</w:t>
      </w:r>
      <w:r>
        <w:rPr/>
        <w:t xml:space="preserve"> </w:t>
      </w:r>
      <w:r>
        <w:rPr/>
        <w:t xml:space="preserve">Especially if you are taking: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Antithrombotic drugs such as warfarin (blood thinner) and aspirin (prevention of blood </w:t>
      </w:r>
      <w:r>
        <w:rPr/>
        <w:t xml:space="preserve">platelet </w:t>
      </w:r>
      <w:r>
        <w:rPr/>
        <w:t xml:space="preserve">clumping)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Cyclosporine or tacrolimus</w:t>
      </w:r>
      <w:r>
        <w:rPr/>
        <w:t xml:space="preserve"> </w:t>
      </w:r>
      <w:r>
        <w:rPr/>
        <w:t xml:space="preserve">(</w:t>
      </w:r>
      <w:r>
        <w:rPr/>
        <w:t xml:space="preserve">used after organ transplants</w:t>
      </w:r>
      <w:r>
        <w:rPr/>
        <w:t xml:space="preserve">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Digoxin - for treating heart problems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Lithium - for treating mental illnesses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Methotrexate - for treating conditions such as psoriasis or rheumatoid arthritis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Corticosteroids (such as prednisolone)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Quinolone antibiotics such as ciprofloxacin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Medicines for treating high blood pressure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Mifepristone</w:t>
      </w:r>
      <w:r>
        <w:rPr/>
        <w:t xml:space="preserve"> </w:t>
      </w:r>
      <w:r>
        <w:rPr/>
        <w:t xml:space="preserve">(</w:t>
      </w:r>
      <w:r>
        <w:rPr/>
        <w:t xml:space="preserve">for termination of pregnancy</w:t>
      </w:r>
      <w:r>
        <w:rPr/>
        <w:t xml:space="preserve">)</w:t>
      </w:r>
      <w:r>
        <w:rPr/>
        <w:t xml:space="preserve"> </w:t>
      </w:r>
      <w:r>
        <w:rPr/>
        <w:t xml:space="preserve">during the last 12 days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Other non-steroidal anti-inflammatory drugs such as aspirin,</w:t>
      </w:r>
      <w:r>
        <w:rPr/>
        <w:t xml:space="preserve"> </w:t>
      </w:r>
      <w:r>
        <w:rPr/>
        <w:t xml:space="preserve">ibuprofen, naproxen, </w:t>
      </w:r>
      <w:r>
        <w:rPr/>
        <w:t xml:space="preserve">diclofenac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Selective serotonin reuptake inhibitor antidepressants</w:t>
      </w:r>
      <w:r>
        <w:rPr/>
        <w:t xml:space="preserve"> </w:t>
      </w:r>
      <w:r>
        <w:rPr/>
        <w:t xml:space="preserve">(SSRI)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Diuretics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Zidovudine</w:t>
      </w:r>
      <w:r>
        <w:rPr/>
        <w:t xml:space="preserve"> </w:t>
      </w:r>
      <w:r>
        <w:rPr/>
        <w:t xml:space="preserve">(</w:t>
      </w:r>
      <w:r>
        <w:rPr/>
        <w:t xml:space="preserve">for treating</w:t>
      </w:r>
      <w:r>
        <w:rPr/>
        <w:t xml:space="preserve"> </w:t>
      </w:r>
      <w:r>
        <w:rPr/>
        <w:t xml:space="preserve">HIV)</w:t>
      </w:r>
    </w:p>
    <w:bookmarkEnd w:id="11"/>
    <w:p>
      <w:pPr>
        <w:pBdr/>
        <w:pStyle w:val="Heading 2"/>
        <w:spacing/>
        <w:ind/>
        <w:rPr/>
      </w:pPr>
      <w:bookmarkStart w:name="שימוש_בתרופה_ומזון" w:id="12"/>
      <w:r>
        <w:rPr/>
        <w:t xml:space="preserve">Use of the medicine and food</w:t>
      </w:r>
    </w:p>
    <w:p>
      <w:pPr>
        <w:pBdr/>
        <w:pStyle w:val="First Paragraph"/>
        <w:spacing/>
        <w:ind/>
        <w:rPr/>
      </w:pPr>
      <w:r>
        <w:rPr/>
        <w:t xml:space="preserve">The medicine should be taken with or after a meal.</w:t>
      </w:r>
    </w:p>
    <w:bookmarkEnd w:id="12"/>
    <w:p>
      <w:pPr>
        <w:pBdr/>
        <w:pStyle w:val="Heading 2"/>
        <w:spacing/>
        <w:ind/>
        <w:rPr/>
      </w:pPr>
      <w:bookmarkStart w:name="היריון_והנקה" w:id="13"/>
      <w:r>
        <w:rPr/>
        <w:t xml:space="preserve">Pregnancy and breastfeeding</w:t>
      </w:r>
    </w:p>
    <w:p>
      <w:pPr>
        <w:pBdr/>
        <w:pStyle w:val="First Paragraph"/>
        <w:spacing/>
        <w:ind/>
        <w:rPr/>
      </w:pPr>
      <w:r>
        <w:rPr/>
        <w:t xml:space="preserve">If you are pregnant,</w:t>
      </w:r>
      <w:r>
        <w:rPr/>
        <w:t xml:space="preserve"> </w:t>
      </w:r>
      <w:r>
        <w:rPr/>
        <w:t xml:space="preserve">breastfeeding, think you may be pregnant or are planning to have a baby, </w:t>
      </w:r>
      <w:r>
        <w:rPr/>
        <w:t xml:space="preserve">consult your doctor </w:t>
      </w:r>
      <w:r>
        <w:rPr/>
        <w:t xml:space="preserve">or pharmacist before taking this medicine.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Pregnancy</w:t>
      </w:r>
    </w:p>
    <w:p>
      <w:pPr>
        <w:pBdr/>
        <w:pStyle w:val="Block Text"/>
        <w:spacing/>
        <w:ind/>
        <w:rPr/>
      </w:pPr>
      <w:r>
        <w:rPr/>
        <w:t xml:space="preserve">You should inform your doctor if you have difficulty becoming pregnant. Non-</w:t>
      </w:r>
      <w:r>
        <w:rPr/>
        <w:t xml:space="preserve">steroidal anti-inflammatory </w:t>
      </w:r>
      <w:r>
        <w:rPr/>
        <w:t xml:space="preserve">drugs may make it more difficult to become pregnant.</w:t>
      </w:r>
    </w:p>
    <w:p>
      <w:pPr>
        <w:pBdr/>
        <w:pStyle w:val="Block Text"/>
        <w:spacing/>
        <w:ind/>
        <w:rPr/>
      </w:pPr>
      <w:r>
        <w:rPr/>
        <w:t xml:space="preserve">Do not use this medicine if you are in the last three months of pregnancy</w:t>
      </w:r>
      <w:r>
        <w:rPr/>
        <w:t xml:space="preserve"> </w:t>
      </w:r>
      <w:r>
        <w:rPr/>
        <w:t xml:space="preserve">as it may </w:t>
      </w:r>
      <w:r>
        <w:rPr/>
        <w:t xml:space="preserve">harm the fetus or cause problems during delivery.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The preparation may cause kidney and heart problems in the fetus. The </w:t>
      </w:r>
      <w:r>
        <w:rPr>
          <w:b/>
          <w:bCs/>
        </w:rPr>
        <w:t xml:space="preserve">preparation may affect </w:t>
      </w:r>
      <w:r>
        <w:rPr>
          <w:b/>
          <w:bCs/>
        </w:rPr>
        <w:t xml:space="preserve">the tendency of the mother or fetus to bleed and cause </w:t>
      </w:r>
      <w:r>
        <w:rPr>
          <w:b/>
          <w:bCs/>
        </w:rPr>
        <w:t xml:space="preserve">labor to be later or longer than ex</w:t>
      </w:r>
      <w:r>
        <w:rPr>
          <w:b/>
          <w:bCs/>
        </w:rPr>
        <w:t xml:space="preserve">pected.</w:t>
      </w:r>
    </w:p>
    <w:p>
      <w:pPr>
        <w:pBdr/>
        <w:pStyle w:val="Block Text"/>
        <w:spacing/>
        <w:ind/>
        <w:rPr/>
      </w:pPr>
      <w:r>
        <w:rPr/>
        <w:t xml:space="preserve">Do not take Etopan during the first six months of pregnancy unless it is absolutely </w:t>
      </w:r>
      <w:r>
        <w:rPr/>
        <w:t xml:space="preserve">necess</w:t>
      </w:r>
      <w:r>
        <w:rPr/>
        <w:t xml:space="preserve">ary</w:t>
      </w:r>
      <w:r>
        <w:rPr/>
        <w:t xml:space="preserve"> </w:t>
      </w:r>
      <w:r>
        <w:rPr>
          <w:b/>
          <w:bCs/>
        </w:rPr>
        <w:t xml:space="preserve">and the doctor has recommended it</w:t>
      </w:r>
      <w:r>
        <w:rPr/>
        <w:t xml:space="preserve">. If you need treatment during this </w:t>
      </w:r>
      <w:r>
        <w:rPr/>
        <w:t xml:space="preserve">period or while trying to get pregnant, take the lowest </w:t>
      </w:r>
      <w:r>
        <w:rPr/>
        <w:t xml:space="preserve">dose for the shortest possible </w:t>
      </w:r>
      <w:r>
        <w:rPr/>
        <w:t xml:space="preserve">time.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Taking Etopan for more than a few days starting</w:t>
      </w:r>
      <w:r>
        <w:rPr/>
        <w:t xml:space="preserve"> </w:t>
      </w:r>
      <w:r>
        <w:rPr/>
        <w:t xml:space="preserve">from the 20th week of pregnancy </w:t>
      </w:r>
      <w:r>
        <w:rPr/>
        <w:t xml:space="preserve">can cause kidney problems in the fetus that can lead to low </w:t>
      </w:r>
      <w:r>
        <w:rPr/>
        <w:t xml:space="preserve">levels of amniotic fluid or </w:t>
      </w:r>
      <w:r>
        <w:rPr/>
        <w:t xml:space="preserve">narrowing of a blood vessel (ductus arteriosus)</w:t>
      </w:r>
      <w:r>
        <w:rPr/>
        <w:t xml:space="preserve"> </w:t>
      </w:r>
      <w:r>
        <w:rPr/>
        <w:t xml:space="preserve">in the fetus' heart.</w:t>
      </w:r>
      <w:r>
        <w:rPr/>
        <w:t xml:space="preserve"> </w:t>
      </w:r>
      <w:r>
        <w:rPr/>
        <w:t xml:space="preserve">If you need treatment </w:t>
      </w:r>
      <w:r>
        <w:rPr/>
        <w:t xml:space="preserve">for more than a few days, your doctor may recommend additional monit</w:t>
      </w:r>
      <w:r>
        <w:rPr/>
        <w:t xml:space="preserve">oring.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Breastfeeding</w:t>
      </w:r>
    </w:p>
    <w:p>
      <w:pPr>
        <w:pBdr/>
        <w:pStyle w:val="Block Text"/>
        <w:spacing/>
        <w:ind/>
        <w:rPr/>
      </w:pPr>
      <w:r>
        <w:rPr/>
        <w:t xml:space="preserve">Do not use Etopan while breastfeeding. It is not known if this medicine passes into </w:t>
      </w:r>
      <w:r>
        <w:rPr/>
        <w:t xml:space="preserve">breast </w:t>
      </w:r>
      <w:r>
        <w:rPr/>
        <w:t xml:space="preserve">milk. It is not recommended for use during breastfeeding unless considered </w:t>
      </w:r>
      <w:r>
        <w:rPr/>
        <w:t xml:space="preserve">essential by the </w:t>
      </w:r>
      <w:r>
        <w:rPr/>
        <w:t xml:space="preserve">doctor.</w:t>
      </w:r>
    </w:p>
    <w:bookmarkEnd w:id="13"/>
    <w:p>
      <w:pPr>
        <w:pBdr/>
        <w:pStyle w:val="Heading 2"/>
        <w:spacing/>
        <w:ind/>
        <w:rPr/>
      </w:pPr>
      <w:bookmarkStart w:name="נהיגה_ושימוש_במכונות" w:id="14"/>
      <w:r>
        <w:rPr/>
        <w:t xml:space="preserve">Driving and using machines</w:t>
      </w:r>
    </w:p>
    <w:p>
      <w:pPr>
        <w:pBdr/>
        <w:pStyle w:val="First Paragraph"/>
        <w:spacing/>
        <w:ind/>
        <w:rPr/>
      </w:pPr>
      <w:r>
        <w:rPr/>
        <w:t xml:space="preserve">Etopan may cause dizziness, drowsiness</w:t>
      </w:r>
      <w:r>
        <w:rPr/>
        <w:t xml:space="preserve"> </w:t>
      </w:r>
      <w:r>
        <w:rPr/>
        <w:t xml:space="preserve">or visual disturbances.</w:t>
      </w:r>
      <w:r>
        <w:rPr/>
        <w:t xml:space="preserve"> </w:t>
      </w:r>
      <w:r>
        <w:rPr/>
        <w:t xml:space="preserve">If you experience these </w:t>
      </w:r>
      <w:r>
        <w:rPr/>
        <w:t xml:space="preserve">symptoms, do not drive or operate dangerous machinery</w:t>
      </w:r>
      <w:r>
        <w:rPr/>
        <w:t xml:space="preserve"> </w:t>
      </w:r>
      <w:r>
        <w:rPr/>
        <w:t xml:space="preserve">while taking Etopan.</w:t>
      </w:r>
    </w:p>
    <w:bookmarkEnd w:id="14"/>
    <w:p>
      <w:pPr>
        <w:pBdr/>
        <w:pStyle w:val="Heading 2"/>
        <w:spacing/>
        <w:ind/>
        <w:rPr/>
      </w:pPr>
      <w:bookmarkStart w:name="מידע_חשוב_על_חלק_מהמרכיבים_של_התרופה" w:id="15"/>
      <w:r>
        <w:rPr/>
        <w:t xml:space="preserve">Important information about some of the ingredients of the medicine</w:t>
      </w:r>
    </w:p>
    <w:bookmarkEnd w:id="15"/>
    <w:p>
      <w:pPr>
        <w:pBdr/>
        <w:pStyle w:val="Heading 2"/>
        <w:spacing/>
        <w:ind/>
        <w:rPr/>
      </w:pPr>
      <w:bookmarkStart w:name="Xce4410ac55a6aecb0ec2ffaf569f93fc56239d3" w:id="16"/>
      <w:r>
        <w:rPr/>
        <w:t xml:space="preserve">The medicine contains lactose.</w:t>
      </w:r>
      <w:r>
        <w:rPr/>
        <w:t xml:space="preserve"> </w:t>
      </w:r>
      <w:r>
        <w:rPr/>
        <w:t xml:space="preserve">If you have been told by a doctor that </w:t>
      </w:r>
      <w:r>
        <w:rPr/>
        <w:t xml:space="preserve">you have an intolerance to some sugars,</w:t>
      </w:r>
      <w:r>
        <w:rPr/>
        <w:t xml:space="preserve"> </w:t>
      </w:r>
      <w:r>
        <w:rPr/>
        <w:t xml:space="preserve">consult your doctor before </w:t>
      </w:r>
      <w:r>
        <w:rPr/>
        <w:t xml:space="preserve">starting treatment with this medicine.</w:t>
      </w:r>
    </w:p>
    <w:bookmarkEnd w:id="16"/>
    <w:p>
      <w:pPr>
        <w:pBdr/>
        <w:pStyle w:val="Heading 2"/>
        <w:spacing/>
        <w:ind/>
        <w:rPr/>
      </w:pPr>
      <w:bookmarkStart w:name="X2532b1b4db36ddf2fea8ee79fad6b03bd164914" w:id="17"/>
      <w:r>
        <w:rPr/>
        <w:t xml:space="preserve">The medicine contains less than 1 millimole of sodium (23 mg) per dose, </w:t>
      </w:r>
      <w:r>
        <w:rPr/>
        <w:t xml:space="preserve">so it is essentially </w:t>
      </w:r>
      <w:r>
        <w:rPr/>
        <w:t xml:space="preserve">considered sodium-free.</w:t>
      </w:r>
    </w:p>
    <w:bookmarkEnd w:id="17"/>
    <w:bookmarkEnd w:id="4"/>
    <w:p>
      <w:pPr>
        <w:pBdr/>
        <w:pStyle w:val="Heading 1"/>
        <w:spacing/>
        <w:ind/>
        <w:rPr/>
      </w:pPr>
      <w:bookmarkStart w:name="כיצד_תשתמש_בתרופה" w:id="18"/>
      <w:r>
        <w:rPr/>
        <w:t xml:space="preserve">3.</w:t>
      </w:r>
      <w:r>
        <w:rPr/>
        <w:t xml:space="preserve"> </w:t>
      </w:r>
      <w:r>
        <w:rPr/>
        <w:t xml:space="preserve">How should you use the medicine?</w:t>
      </w:r>
    </w:p>
    <w:p>
      <w:pPr>
        <w:pBdr/>
        <w:pStyle w:val="First Paragraph"/>
        <w:spacing/>
        <w:ind/>
        <w:rPr/>
      </w:pPr>
      <w:r>
        <w:rPr/>
        <w:t xml:space="preserve">Always use the preparation according to the doctor's instructions.</w:t>
      </w:r>
      <w:r>
        <w:rPr/>
        <w:t xml:space="preserve"> </w:t>
      </w:r>
      <w:r>
        <w:rPr/>
        <w:t xml:space="preserve">Check with your doctor or </w:t>
      </w:r>
      <w:r>
        <w:rPr/>
        <w:t xml:space="preserve">pharmacist if you are uncertain about the dosage and treatment r</w:t>
      </w:r>
      <w:r>
        <w:rPr/>
        <w:t xml:space="preserve">egimen.</w:t>
      </w:r>
    </w:p>
    <w:p>
      <w:pPr>
        <w:pBdr/>
        <w:pStyle w:val="Heading 2"/>
        <w:spacing/>
        <w:ind/>
        <w:rPr/>
      </w:pPr>
      <w:bookmarkStart w:name="X9d6374c071fc840e01644b214a2fc819c2d5e4c" w:id="19"/>
      <w:r>
        <w:rPr/>
        <w:t xml:space="preserve">The dosage and treatment regimen will be determined by the doctor </w:t>
      </w:r>
      <w:r>
        <w:rPr/>
        <w:t xml:space="preserve">only.</w:t>
      </w:r>
      <w:r>
        <w:rPr/>
        <w:t xml:space="preserve"> </w:t>
      </w:r>
      <w:r>
        <w:rPr/>
        <w:t xml:space="preserve">The usual dosage is: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Treatment of arthritis</w:t>
      </w:r>
      <w:r>
        <w:rPr/>
        <w:t xml:space="preserve">:</w:t>
      </w:r>
      <w:r>
        <w:rPr/>
        <w:t xml:space="preserve"> </w:t>
      </w:r>
      <w:r>
        <w:rPr/>
        <w:t xml:space="preserve">Initial treatment of</w:t>
      </w:r>
      <w:r>
        <w:rPr/>
        <w:t xml:space="preserve"> </w:t>
      </w:r>
      <w:r>
        <w:rPr/>
        <w:t xml:space="preserve">800-1200</w:t>
      </w:r>
      <w:r>
        <w:rPr/>
        <w:t xml:space="preserve"> </w:t>
      </w:r>
      <w:r>
        <w:rPr/>
        <w:t xml:space="preserve">mg per day divided into</w:t>
      </w:r>
      <w:r>
        <w:rPr/>
        <w:t xml:space="preserve"> </w:t>
      </w:r>
      <w:r>
        <w:rPr/>
        <w:t xml:space="preserve">2-4</w:t>
      </w:r>
      <w:r>
        <w:rPr/>
        <w:t xml:space="preserve"> </w:t>
      </w:r>
      <w:r>
        <w:rPr/>
        <w:t xml:space="preserve">doses </w:t>
      </w:r>
      <w:r>
        <w:rPr/>
        <w:t xml:space="preserve">and then maintenance treatment at a dose of</w:t>
      </w:r>
      <w:r>
        <w:rPr/>
        <w:t xml:space="preserve"> </w:t>
      </w:r>
      <w:r>
        <w:rPr/>
        <w:t xml:space="preserve">600-1200</w:t>
      </w:r>
      <w:r>
        <w:rPr/>
        <w:t xml:space="preserve"> </w:t>
      </w:r>
      <w:r>
        <w:rPr/>
        <w:t xml:space="preserve">mg per day divided into</w:t>
      </w:r>
      <w:r>
        <w:rPr/>
        <w:t xml:space="preserve"> </w:t>
      </w:r>
      <w:r>
        <w:rPr/>
        <w:t xml:space="preserve">2-4</w:t>
      </w:r>
      <w:r>
        <w:rPr/>
        <w:t xml:space="preserve"> </w:t>
      </w:r>
      <w:r>
        <w:rPr/>
        <w:t xml:space="preserve">doses.</w:t>
      </w:r>
    </w:p>
    <w:p>
      <w:pPr>
        <w:pBdr/>
        <w:pStyle w:val="Block Text"/>
        <w:spacing/>
        <w:ind/>
        <w:rPr/>
      </w:pPr>
      <w:r>
        <w:rPr>
          <w:u w:val="single"/>
        </w:rPr>
        <w:t xml:space="preserve">Pain relief</w:t>
      </w:r>
      <w:r>
        <w:rPr/>
        <w:t xml:space="preserve">:</w:t>
      </w:r>
      <w:r>
        <w:rPr/>
        <w:t xml:space="preserve"> </w:t>
      </w:r>
      <w:r>
        <w:rPr/>
        <w:t xml:space="preserve">Initial treatment of</w:t>
      </w:r>
      <w:r>
        <w:rPr/>
        <w:t xml:space="preserve"> </w:t>
      </w:r>
      <w:r>
        <w:rPr/>
        <w:t xml:space="preserve">400</w:t>
      </w:r>
      <w:r>
        <w:rPr/>
        <w:t xml:space="preserve"> </w:t>
      </w:r>
      <w:r>
        <w:rPr/>
        <w:t xml:space="preserve">mg per day and then</w:t>
      </w:r>
      <w:r>
        <w:rPr/>
        <w:t xml:space="preserve"> </w:t>
      </w:r>
      <w:r>
        <w:rPr/>
        <w:t xml:space="preserve">200-400</w:t>
      </w:r>
      <w:r>
        <w:rPr/>
        <w:t xml:space="preserve"> </w:t>
      </w:r>
      <w:r>
        <w:rPr/>
        <w:t xml:space="preserve">mg every</w:t>
      </w:r>
      <w:r>
        <w:rPr/>
        <w:t xml:space="preserve"> </w:t>
      </w:r>
      <w:r>
        <w:rPr/>
        <w:t xml:space="preserve">6-8</w:t>
      </w:r>
      <w:r>
        <w:rPr/>
        <w:t xml:space="preserve"> </w:t>
      </w:r>
      <w:r>
        <w:rPr/>
        <w:t xml:space="preserve">hours </w:t>
      </w:r>
      <w:r>
        <w:rPr/>
        <w:t xml:space="preserve">or</w:t>
      </w:r>
      <w:r>
        <w:rPr/>
        <w:t xml:space="preserve"> </w:t>
      </w:r>
      <w:r>
        <w:rPr/>
        <w:t xml:space="preserve">600</w:t>
      </w:r>
      <w:r>
        <w:rPr/>
        <w:t xml:space="preserve"> </w:t>
      </w:r>
      <w:r>
        <w:rPr/>
        <w:t xml:space="preserve">mg twice a day and then</w:t>
      </w:r>
      <w:r>
        <w:rPr/>
        <w:t xml:space="preserve"> </w:t>
      </w:r>
      <w:r>
        <w:rPr/>
        <w:t xml:space="preserve">600</w:t>
      </w:r>
      <w:r>
        <w:rPr/>
        <w:t xml:space="preserve"> </w:t>
      </w:r>
      <w:r>
        <w:rPr/>
        <w:t xml:space="preserve">mg once or twice a day,</w:t>
      </w:r>
      <w:r>
        <w:rPr/>
        <w:t xml:space="preserve"> </w:t>
      </w:r>
      <w:r>
        <w:rPr/>
        <w:t xml:space="preserve">as needed.</w:t>
      </w:r>
    </w:p>
    <w:bookmarkEnd w:id="19"/>
    <w:p>
      <w:pPr>
        <w:pBdr/>
        <w:pStyle w:val="Heading 2"/>
        <w:spacing/>
        <w:ind/>
        <w:rPr/>
      </w:pPr>
      <w:bookmarkStart w:name="אין_לעבור_על_מינון_כולל_של_1200_מג_ליום" w:id="20"/>
      <w:r>
        <w:rPr/>
        <w:t xml:space="preserve">Do not exceed a total dose of</w:t>
      </w:r>
      <w:r>
        <w:rPr/>
        <w:t xml:space="preserve"> </w:t>
      </w:r>
      <w:r>
        <w:rPr/>
        <w:t xml:space="preserve">1200</w:t>
      </w:r>
      <w:r>
        <w:rPr/>
        <w:t xml:space="preserve"> </w:t>
      </w:r>
      <w:r>
        <w:rPr/>
        <w:t xml:space="preserve">mg per day!</w:t>
      </w:r>
    </w:p>
    <w:p>
      <w:pPr>
        <w:pBdr/>
        <w:pStyle w:val="First Paragraph"/>
        <w:spacing/>
        <w:ind/>
        <w:rPr/>
      </w:pPr>
      <w:r>
        <w:rPr/>
        <w:t xml:space="preserve">If you are elderly,</w:t>
      </w:r>
      <w:r>
        <w:rPr/>
        <w:t xml:space="preserve"> </w:t>
      </w:r>
      <w:r>
        <w:rPr/>
        <w:t xml:space="preserve">the doctor will make sure you are taking the lowest dose for the shortest time,</w:t>
      </w:r>
      <w:r>
        <w:rPr/>
        <w:t xml:space="preserve"> </w:t>
      </w:r>
      <w:r>
        <w:rPr/>
        <w:t xml:space="preserve">due to the risk of serious side effects.</w:t>
      </w:r>
    </w:p>
    <w:bookmarkEnd w:id="20"/>
    <w:p>
      <w:pPr>
        <w:pBdr/>
        <w:pStyle w:val="Heading 2"/>
        <w:spacing/>
        <w:ind/>
        <w:rPr/>
      </w:pPr>
      <w:bookmarkStart w:name="אין_לעבור_על_המנה_המומלצת." w:id="21"/>
      <w:r>
        <w:rPr/>
        <w:t xml:space="preserve">Do not exceed the recommended dose.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Swallow the medicine whole with a glass of water.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chew,</w:t>
      </w:r>
      <w:r>
        <w:rPr/>
        <w:t xml:space="preserve"> </w:t>
      </w:r>
      <w:r>
        <w:rPr/>
        <w:t xml:space="preserve">crush or break!</w:t>
      </w:r>
    </w:p>
    <w:bookmarkEnd w:id="21"/>
    <w:p>
      <w:pPr>
        <w:pBdr/>
        <w:pStyle w:val="Heading 2"/>
        <w:spacing/>
        <w:ind/>
        <w:rPr/>
      </w:pPr>
      <w:bookmarkStart w:name="שימוש_בילדים" w:id="22"/>
      <w:r>
        <w:rPr/>
        <w:t xml:space="preserve">Use in children</w:t>
      </w:r>
    </w:p>
    <w:p>
      <w:pPr>
        <w:pBdr/>
        <w:pStyle w:val="Block Text"/>
        <w:spacing/>
        <w:ind/>
        <w:rPr/>
      </w:pPr>
      <w:r>
        <w:rPr/>
        <w:t xml:space="preserve">Etopan is not recommended for use in children.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have accidentally taken a higher dose</w:t>
      </w:r>
      <w:r>
        <w:rPr/>
        <w:t xml:space="preserve"> </w:t>
      </w:r>
      <w:r>
        <w:rPr/>
        <w:t xml:space="preserve">or if a child has accidentally swallowed </w:t>
      </w:r>
      <w:r>
        <w:rPr/>
        <w:t xml:space="preserve">the medicine,</w:t>
      </w:r>
      <w:r>
        <w:rPr/>
        <w:t xml:space="preserve"> </w:t>
      </w:r>
      <w:r>
        <w:rPr/>
        <w:t xml:space="preserve">refer immediately to a doctor or proceed to a hospital emergency room,</w:t>
      </w:r>
      <w:r>
        <w:rPr/>
        <w:t xml:space="preserve"> </w:t>
      </w:r>
      <w:r>
        <w:rPr/>
        <w:t xml:space="preserve">and bring the package of the medicine with you.</w:t>
      </w:r>
      <w:r>
        <w:rPr/>
        <w:t xml:space="preserve"> </w:t>
      </w:r>
      <w:r>
        <w:rPr/>
        <w:t xml:space="preserve">Symptoms of overdose include </w:t>
      </w:r>
      <w:r>
        <w:rPr/>
        <w:t xml:space="preserve">headache,</w:t>
      </w:r>
      <w:r>
        <w:rPr/>
        <w:t xml:space="preserve"> </w:t>
      </w:r>
      <w:r>
        <w:rPr/>
        <w:t xml:space="preserve">nausea and vomiting,</w:t>
      </w:r>
      <w:r>
        <w:rPr/>
        <w:t xml:space="preserve"> </w:t>
      </w:r>
      <w:r>
        <w:rPr/>
        <w:t xml:space="preserve">abdominal pain, blood in the stool or black tarry </w:t>
      </w:r>
      <w:r>
        <w:rPr/>
        <w:t xml:space="preserve">stools. In rare cases, diarrhea, disorie</w:t>
      </w:r>
      <w:r>
        <w:rPr/>
        <w:t xml:space="preserve">ntation,</w:t>
      </w:r>
      <w:r>
        <w:rPr/>
        <w:t xml:space="preserve"> </w:t>
      </w:r>
      <w:r>
        <w:rPr/>
        <w:t xml:space="preserve">agitation,</w:t>
      </w:r>
      <w:r>
        <w:rPr/>
        <w:t xml:space="preserve"> </w:t>
      </w:r>
      <w:r>
        <w:rPr/>
        <w:t xml:space="preserve">coma,</w:t>
      </w:r>
      <w:r>
        <w:rPr/>
        <w:t xml:space="preserve"> </w:t>
      </w:r>
      <w:r>
        <w:rPr/>
        <w:t xml:space="preserve">drowsiness,</w:t>
      </w:r>
      <w:r>
        <w:rPr/>
        <w:t xml:space="preserve"> </w:t>
      </w:r>
      <w:r>
        <w:rPr/>
        <w:t xml:space="preserve">dizziness,</w:t>
      </w:r>
      <w:r>
        <w:rPr/>
        <w:t xml:space="preserve"> </w:t>
      </w:r>
      <w:r>
        <w:rPr/>
        <w:t xml:space="preserve">ringing in the ears,</w:t>
      </w:r>
      <w:r>
        <w:rPr/>
        <w:t xml:space="preserve"> </w:t>
      </w:r>
      <w:r>
        <w:rPr/>
        <w:t xml:space="preserve">fainting and convulsions.</w:t>
      </w:r>
      <w:r>
        <w:rPr/>
        <w:t xml:space="preserve"> </w:t>
      </w:r>
      <w:r>
        <w:rPr/>
        <w:t xml:space="preserve">In cases of significant overdose, kidney </w:t>
      </w:r>
      <w:r>
        <w:rPr/>
        <w:t xml:space="preserve">failure and liver damage are also possible.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forgot to take this medicine</w:t>
      </w:r>
      <w:r>
        <w:rPr/>
        <w:t xml:space="preserve"> </w:t>
      </w:r>
      <w:r>
        <w:rPr/>
        <w:t xml:space="preserve">at the designated time,</w:t>
      </w:r>
      <w:r>
        <w:rPr/>
        <w:t xml:space="preserve"> </w:t>
      </w:r>
      <w:r>
        <w:rPr/>
        <w:t xml:space="preserve">do not take a double dose. </w:t>
      </w:r>
      <w:r>
        <w:rPr/>
        <w:t xml:space="preserve">Take the dose at the regular time and consult your doctor.</w:t>
      </w:r>
    </w:p>
    <w:p>
      <w:pPr>
        <w:pBdr/>
        <w:pStyle w:val="Block Text"/>
        <w:spacing/>
        <w:ind/>
        <w:rPr/>
      </w:pPr>
      <w:r>
        <w:rPr/>
        <w:t xml:space="preserve">Adhere to the treatment as recommended by the doctor.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Do not take medicines in the dark!</w:t>
      </w:r>
      <w:r>
        <w:rPr>
          <w:b/>
          <w:bCs/>
        </w:rPr>
        <w:t xml:space="preserve"> </w:t>
      </w:r>
      <w:r>
        <w:rPr>
          <w:b/>
          <w:bCs/>
        </w:rPr>
        <w:t xml:space="preserve">Check the label and the dose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each time</w:t>
      </w:r>
      <w:r>
        <w:rPr>
          <w:b/>
          <w:bCs/>
        </w:rPr>
        <w:t xml:space="preserve"> </w:t>
      </w:r>
      <w:r>
        <w:rPr>
          <w:b/>
          <w:bCs/>
        </w:rPr>
        <w:t xml:space="preserve">you </w:t>
      </w:r>
      <w:r>
        <w:rPr>
          <w:b/>
          <w:bCs/>
        </w:rPr>
        <w:t xml:space="preserve">take medicine.</w:t>
      </w:r>
      <w:r>
        <w:rPr>
          <w:b/>
          <w:bCs/>
        </w:rPr>
        <w:t xml:space="preserve"> </w:t>
      </w:r>
      <w:r>
        <w:rPr>
          <w:b/>
          <w:bCs/>
        </w:rPr>
        <w:t xml:space="preserve">Wear glasses if you need them.</w:t>
      </w:r>
    </w:p>
    <w:p>
      <w:pPr>
        <w:pBdr/>
        <w:pStyle w:val="Block Text"/>
        <w:spacing/>
        <w:ind/>
        <w:rPr/>
      </w:pPr>
      <w:r>
        <w:rPr>
          <w:b/>
          <w:bCs/>
        </w:rPr>
        <w:t xml:space="preserve">If you have further questions regarding the use of the medicine,</w:t>
      </w:r>
      <w:r>
        <w:rPr>
          <w:b/>
          <w:bCs/>
        </w:rPr>
        <w:t xml:space="preserve"> </w:t>
      </w:r>
      <w:r>
        <w:rPr>
          <w:b/>
          <w:bCs/>
        </w:rPr>
        <w:t xml:space="preserve">consult the doctor </w:t>
      </w:r>
      <w:r>
        <w:rPr>
          <w:b/>
          <w:bCs/>
        </w:rPr>
        <w:t xml:space="preserve">or pharmacist.</w:t>
      </w:r>
    </w:p>
    <w:bookmarkEnd w:id="22"/>
    <w:bookmarkEnd w:id="18"/>
    <w:p>
      <w:pPr>
        <w:pBdr/>
        <w:pStyle w:val="Heading 1"/>
        <w:spacing/>
        <w:ind/>
        <w:rPr/>
      </w:pPr>
      <w:bookmarkStart w:name="תופעות_לוואי" w:id="23"/>
      <w:r>
        <w:rPr/>
        <w:t xml:space="preserve">4.</w:t>
      </w:r>
      <w:r>
        <w:rPr/>
        <w:t xml:space="preserve"> </w:t>
      </w:r>
      <w:r>
        <w:rPr/>
        <w:t xml:space="preserve">Side effects</w:t>
      </w:r>
    </w:p>
    <w:p>
      <w:pPr>
        <w:pBdr/>
        <w:pStyle w:val="First Paragraph"/>
        <w:spacing/>
        <w:ind/>
        <w:rPr/>
      </w:pPr>
      <w:r>
        <w:rPr/>
        <w:t xml:space="preserve">As with any medicine,</w:t>
      </w:r>
      <w:r>
        <w:rPr/>
        <w:t xml:space="preserve"> </w:t>
      </w:r>
      <w:r>
        <w:rPr/>
        <w:t xml:space="preserve">using Etopan may cause side effects in some users.</w:t>
      </w:r>
      <w:r>
        <w:rPr/>
        <w:t xml:space="preserve"> </w:t>
      </w:r>
      <w:r>
        <w:rPr/>
        <w:t xml:space="preserve">Do not be alarmed </w:t>
      </w:r>
      <w:r>
        <w:rPr/>
        <w:t xml:space="preserve">when reading the list of side effects.</w:t>
      </w:r>
      <w:r>
        <w:rPr/>
        <w:t xml:space="preserve"> </w:t>
      </w:r>
      <w:r>
        <w:rPr/>
        <w:t xml:space="preserve">You may not suffer from any of them.</w:t>
      </w:r>
    </w:p>
    <w:p>
      <w:pPr>
        <w:pBdr/>
        <w:pStyle w:val="Body Text"/>
        <w:spacing/>
        <w:ind/>
        <w:rPr/>
      </w:pPr>
      <w:r>
        <w:rPr/>
        <w:t xml:space="preserve">The most serious side effects are allergic reactions, heart failure, stroke, kidney failure, </w:t>
      </w:r>
      <w:r>
        <w:rPr/>
        <w:t xml:space="preserve">liver </w:t>
      </w:r>
      <w:r>
        <w:rPr/>
        <w:t xml:space="preserve">failure, inflammation of the pancreas and aseptic meningitis. If you suffer from any </w:t>
      </w:r>
      <w:r>
        <w:rPr/>
        <w:t xml:space="preserve">of the </w:t>
      </w:r>
      <w:r>
        <w:rPr/>
        <w:t xml:space="preserve">symptoms described below,</w:t>
      </w:r>
      <w:r>
        <w:rPr/>
        <w:t xml:space="preserve"> </w:t>
      </w:r>
      <w:r>
        <w:rPr>
          <w:b/>
          <w:bCs/>
        </w:rPr>
        <w:t xml:space="preserve">stop taking Etopan and refer to a doctor immediately.</w:t>
      </w:r>
    </w:p>
    <w:p>
      <w:pPr>
        <w:pBdr/>
        <w:pStyle w:val="Heading 2"/>
        <w:spacing/>
        <w:ind/>
        <w:rPr/>
      </w:pPr>
      <w:bookmarkStart w:name="תסמינים_של_תגובות_אלרגיות" w:id="24"/>
      <w:r>
        <w:rPr>
          <w:u w:val="single"/>
        </w:rPr>
        <w:t xml:space="preserve">Symptoms of allergic reactions: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Wheezing, difficulty breathing or shortness of breath,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Swelling of the face, lips, mouth or tongue,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Extensive rash, peeling or blistering of the skin, persistent itching.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heart and circulatory disorders: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Chest pain, high blood pressure, swelling of the ankles, palpitations, several types of </w:t>
      </w:r>
      <w:r>
        <w:rPr/>
        <w:t xml:space="preserve">anemia </w:t>
      </w:r>
      <w:r>
        <w:rPr/>
        <w:t xml:space="preserve">or other blood disorders, unexpected bruising and bleeding.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stomach and intestinal problems (digestive system):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Blood in the stool,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Black tarry stools,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Vomiting blood or dark particles that look like coffee grounds.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kidney failure: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Difficulty or pain when urinating, change in color of urine</w:t>
      </w:r>
      <w:r>
        <w:rPr/>
        <w:t xml:space="preserve"> </w:t>
      </w:r>
      <w:r>
        <w:rPr/>
        <w:t xml:space="preserve">or urinating more or less </w:t>
      </w:r>
      <w:r>
        <w:rPr/>
        <w:t xml:space="preserve">frequently than usual.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liver failure and inflammation of the pancreas: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Jaundice (yellowing of the eyes or skin), abdominal pain, abnormal liver function test </w:t>
      </w:r>
      <w:r>
        <w:rPr/>
        <w:t xml:space="preserve">res</w:t>
      </w:r>
      <w:r>
        <w:rPr/>
        <w:t xml:space="preserve">ults.</w:t>
      </w:r>
    </w:p>
    <w:p>
      <w:pPr>
        <w:pBdr/>
        <w:pStyle w:val="First Paragraph"/>
        <w:spacing/>
        <w:ind/>
        <w:rPr/>
      </w:pPr>
      <w:r>
        <w:rPr>
          <w:u w:val="single"/>
        </w:rPr>
        <w:t xml:space="preserve">Symptoms of aseptic meningitis</w:t>
      </w:r>
    </w:p>
    <w:p>
      <w:pPr>
        <w:pBdr/>
        <w:pStyle w:val="Body Text"/>
        <w:spacing/>
        <w:ind/>
        <w:rPr/>
      </w:pPr>
      <w:r>
        <w:rPr/>
        <w:t xml:space="preserve">A serious and rare case of aseptic meningitis may occur in patients with other autoimmune </w:t>
      </w:r>
      <w:r>
        <w:rPr/>
        <w:t xml:space="preserve">diseases </w:t>
      </w:r>
      <w:r>
        <w:rPr/>
        <w:t xml:space="preserve">such as lupus or mixed connective tissue disease.</w:t>
      </w:r>
    </w:p>
    <w:p>
      <w:pPr>
        <w:pBdr/>
        <w:pStyle w:val="Body Text"/>
        <w:spacing/>
        <w:ind/>
        <w:rPr/>
      </w:pPr>
      <w:r>
        <w:rPr/>
        <w:t xml:space="preserve">The symptoms of aseptic meningitis are: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Very high fever, vomiting, headaches, a rash with spots that do not disappear when </w:t>
      </w:r>
      <w:r>
        <w:rPr/>
        <w:t xml:space="preserve">pressure </w:t>
      </w:r>
      <w:r>
        <w:rPr/>
        <w:t xml:space="preserve">is applied to the skin (may not develop), stiff neck, sensitivity to light, </w:t>
      </w:r>
      <w:r>
        <w:rPr/>
        <w:t xml:space="preserve">drowsiness and </w:t>
      </w:r>
      <w:r>
        <w:rPr/>
        <w:t xml:space="preserve">convulsions.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Additional side effects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Sensory disorders such as headaches, ringing or buzzing in the ears, dizziness, abnormal </w:t>
      </w:r>
      <w:r>
        <w:rPr/>
        <w:t xml:space="preserve">vision, </w:t>
      </w:r>
      <w:r>
        <w:rPr/>
        <w:t xml:space="preserve">hallucinations, tingling, pricking and burning sensation of the skin (pins and </w:t>
      </w:r>
      <w:r>
        <w:rPr/>
        <w:t xml:space="preserve">needles), and </w:t>
      </w:r>
      <w:r>
        <w:rPr/>
        <w:t xml:space="preserve">vertigo (a sensation that objects around you are moving or spinning).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Digestive system problems such as mouth ulcers, mouth pain, nausea, vomiting,</w:t>
      </w:r>
      <w:r>
        <w:rPr/>
        <w:t xml:space="preserve"> </w:t>
      </w:r>
      <w:r>
        <w:rPr/>
        <w:t xml:space="preserve">abdominal discomfort, diarrhea,</w:t>
      </w:r>
      <w:r>
        <w:rPr/>
        <w:t xml:space="preserve"> </w:t>
      </w:r>
      <w:r>
        <w:rPr/>
        <w:t xml:space="preserve">constipation, flatulence</w:t>
      </w:r>
      <w:r>
        <w:rPr/>
        <w:t xml:space="preserve"> </w:t>
      </w:r>
      <w:r>
        <w:rPr/>
        <w:t xml:space="preserve">(</w:t>
      </w:r>
      <w:r>
        <w:rPr/>
        <w:t xml:space="preserve">gas</w:t>
      </w:r>
      <w:r>
        <w:rPr/>
        <w:t xml:space="preserve">),</w:t>
      </w:r>
      <w:r>
        <w:rPr/>
        <w:t xml:space="preserve"> </w:t>
      </w:r>
      <w:r>
        <w:rPr/>
        <w:t xml:space="preserve">heartburn, indigestion.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Skin disorders such as tissue swelling, skin itching, rash, redness.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General disorders such as fever, drowsiness, fatigue, weakness, insomnia, tremors, </w:t>
      </w:r>
      <w:r>
        <w:rPr/>
        <w:t xml:space="preserve">nervousness, </w:t>
      </w:r>
      <w:r>
        <w:rPr/>
        <w:t xml:space="preserve">depression, confusion.</w:t>
      </w:r>
    </w:p>
    <w:bookmarkEnd w:id="24"/>
    <w:p>
      <w:pPr>
        <w:pBdr/>
        <w:pStyle w:val="Heading 2"/>
        <w:spacing/>
        <w:ind/>
        <w:rPr/>
      </w:pPr>
      <w:bookmarkStart w:name="X105e669b641891a23019a8ea9d8ea1e15cc9107" w:id="25"/>
      <w:r>
        <w:rPr/>
        <w:t xml:space="preserve">If a side effect occurs,</w:t>
      </w:r>
      <w:r>
        <w:rPr/>
        <w:t xml:space="preserve"> </w:t>
      </w:r>
      <w:r>
        <w:rPr/>
        <w:t xml:space="preserve">if one of the side effects worsens,</w:t>
      </w:r>
      <w:r>
        <w:rPr/>
        <w:t xml:space="preserve"> </w:t>
      </w:r>
      <w:r>
        <w:rPr/>
        <w:t xml:space="preserve">or if you suffer </w:t>
      </w:r>
      <w:r>
        <w:rPr/>
        <w:t xml:space="preserve">from a side effect not mentioned in the leaflet,</w:t>
      </w:r>
      <w:r>
        <w:rPr/>
        <w:t xml:space="preserve"> </w:t>
      </w:r>
      <w:r>
        <w:rPr/>
        <w:t xml:space="preserve">consult with the doctor.</w:t>
      </w:r>
    </w:p>
    <w:p>
      <w:pPr>
        <w:pBdr/>
        <w:pStyle w:val="First Paragraph"/>
        <w:spacing/>
        <w:ind/>
        <w:rPr/>
      </w:pPr>
      <w:r>
        <w:rPr>
          <w:b/>
          <w:bCs/>
        </w:rPr>
        <w:t xml:space="preserve">Reporting side effects</w:t>
      </w:r>
    </w:p>
    <w:p>
      <w:pPr>
        <w:pBdr/>
        <w:pStyle w:val="Body Text"/>
        <w:spacing/>
        <w:ind/>
        <w:rPr/>
      </w:pPr>
      <w:r>
        <w:rPr/>
        <w:t xml:space="preserve">Side effects can be reported to the Ministry of Health by clicking on the link</w:t>
      </w:r>
      <w:r>
        <w:rPr/>
        <w:t xml:space="preserve"> </w:t>
      </w:r>
      <w:r>
        <w:rPr/>
        <w:t xml:space="preserve">"</w:t>
      </w:r>
      <w:r>
        <w:rPr/>
        <w:t xml:space="preserve">Reporting Side </w:t>
      </w:r>
      <w:r>
        <w:rPr/>
        <w:t xml:space="preserve">Effects of Drug Treatment</w:t>
      </w:r>
      <w:r>
        <w:rPr/>
        <w:t xml:space="preserve">"</w:t>
      </w:r>
      <w:r>
        <w:rPr/>
        <w:t xml:space="preserve"> </w:t>
      </w:r>
      <w:r>
        <w:rPr/>
        <w:t xml:space="preserve">found on the Ministry of Health homepage</w:t>
      </w:r>
      <w:r>
        <w:rPr/>
        <w:t xml:space="preserve"> </w:t>
      </w:r>
      <w:r>
        <w:rPr>
          <w:u w:val="single"/>
        </w:rPr>
        <w:t xml:space="preserve">(www.health.gov.il)</w:t>
      </w:r>
      <w:r>
        <w:rPr/>
        <w:t xml:space="preserve"> </w:t>
      </w:r>
      <w:r>
        <w:rPr/>
        <w:t xml:space="preserve">which directs you to the online form for reporting side effects,</w:t>
      </w:r>
      <w:r>
        <w:rPr/>
        <w:t xml:space="preserve"> </w:t>
      </w:r>
      <w:r>
        <w:rPr/>
        <w:t xml:space="preserve">or by entering</w:t>
      </w:r>
    </w:p>
    <w:p>
      <w:pPr>
        <w:pBdr/>
        <w:pStyle w:val="Body Text"/>
        <w:spacing/>
        <w:ind/>
        <w:rPr/>
      </w:pPr>
      <w:r>
        <w:rPr/>
        <w:t xml:space="preserve">the link:</w:t>
      </w:r>
      <w:r>
        <w:rPr/>
        <w:t xml:space="preserve"> </w:t>
      </w:r>
      <w:r>
        <w:rPr>
          <w:u w:val="single"/>
        </w:rPr>
        <w:t xml:space="preserve">https://sideeffects.health.gov.il</w:t>
      </w:r>
    </w:p>
    <w:bookmarkEnd w:id="25"/>
    <w:bookmarkEnd w:id="23"/>
    <w:p>
      <w:pPr>
        <w:pBdr/>
        <w:pStyle w:val="Heading 1"/>
        <w:spacing/>
        <w:ind/>
        <w:rPr/>
      </w:pPr>
      <w:bookmarkStart w:name="איך_לאחסן_את_התרופה" w:id="26"/>
      <w:r>
        <w:rPr/>
        <w:t xml:space="preserve">5.</w:t>
      </w:r>
      <w:r>
        <w:rPr/>
        <w:t xml:space="preserve"> </w:t>
      </w:r>
      <w:r>
        <w:rPr/>
        <w:t xml:space="preserve">How should the medicine be stored?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Avoid poisoning!</w:t>
      </w:r>
      <w:r>
        <w:rPr/>
        <w:t xml:space="preserve"> </w:t>
      </w:r>
      <w:r>
        <w:rPr/>
        <w:t xml:space="preserve">This medicine, and all other medicines, must be stored in a safe place </w:t>
      </w:r>
      <w:r>
        <w:rPr/>
        <w:t xml:space="preserve">out of the reach and </w:t>
      </w:r>
      <w:r>
        <w:rPr/>
        <w:t xml:space="preserve">sight of children and/or infants, to avoid poisoning.</w:t>
      </w:r>
      <w:r>
        <w:rPr/>
        <w:t xml:space="preserve"> </w:t>
      </w:r>
      <w:r>
        <w:rPr/>
        <w:t xml:space="preserve">Do not induce </w:t>
      </w:r>
      <w:r>
        <w:rPr/>
        <w:t xml:space="preserve">vomiting unless explicitly instructed to do so by a doctor.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use the medicine after the expiry date</w:t>
      </w:r>
      <w:r>
        <w:rPr/>
        <w:t xml:space="preserve"> </w:t>
      </w:r>
      <w:r>
        <w:rPr/>
        <w:t xml:space="preserve">(exp. date)</w:t>
      </w:r>
      <w:r>
        <w:rPr/>
        <w:t xml:space="preserve"> </w:t>
      </w:r>
      <w:r>
        <w:rPr/>
        <w:t xml:space="preserve">that appears on the package.</w:t>
      </w:r>
      <w:r>
        <w:rPr/>
        <w:t xml:space="preserve"> </w:t>
      </w:r>
      <w:r>
        <w:rPr/>
        <w:t xml:space="preserve">The </w:t>
      </w:r>
      <w:r>
        <w:rPr/>
        <w:t xml:space="preserve">expiry date refers to the last day of that month.</w:t>
      </w:r>
    </w:p>
    <w:p>
      <w:pPr>
        <w:pBdr/>
        <w:pStyle w:val="Heading 2"/>
        <w:spacing/>
        <w:ind/>
        <w:rPr/>
      </w:pPr>
      <w:bookmarkStart w:name="תנאי_אחסון" w:id="27"/>
      <w:r>
        <w:rPr/>
        <w:t xml:space="preserve">Storage conditions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Etopan 200/300/400: Store below</w:t>
      </w:r>
      <w:r>
        <w:rPr/>
        <w:t xml:space="preserve"> </w:t>
      </w:r>
      <w:r>
        <w:rPr/>
        <w:t xml:space="preserve">25°C.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Etopan 500:</w:t>
      </w:r>
      <w:r>
        <w:rPr/>
        <w:t xml:space="preserve"> </w:t>
      </w:r>
      <w:r>
        <w:rPr/>
        <w:t xml:space="preserve">Store below</w:t>
      </w:r>
      <w:r>
        <w:rPr/>
        <w:t xml:space="preserve"> </w:t>
      </w:r>
      <w:r>
        <w:rPr/>
        <w:t xml:space="preserve">25°C.</w:t>
      </w:r>
      <w:r>
        <w:rPr/>
        <w:t xml:space="preserve"> </w:t>
      </w:r>
      <w:r>
        <w:rPr/>
        <w:t xml:space="preserve">Store in a cool and dry place.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Do not dispose of medicines in the sewage or household waste.</w:t>
      </w:r>
      <w:r>
        <w:rPr/>
        <w:t xml:space="preserve"> </w:t>
      </w:r>
      <w:r>
        <w:rPr/>
        <w:t xml:space="preserve">Ask the pharmacist how </w:t>
      </w:r>
      <w:r>
        <w:rPr/>
        <w:t xml:space="preserve">to dispose of medicines no longer in use.</w:t>
      </w:r>
      <w:r>
        <w:rPr/>
        <w:t xml:space="preserve"> </w:t>
      </w:r>
      <w:r>
        <w:rPr/>
        <w:t xml:space="preserve">These measures will help protect the </w:t>
      </w:r>
      <w:r>
        <w:rPr/>
        <w:t xml:space="preserve">environment.</w:t>
      </w:r>
    </w:p>
    <w:bookmarkEnd w:id="27"/>
    <w:bookmarkEnd w:id="26"/>
    <w:p>
      <w:pPr>
        <w:pBdr/>
        <w:pStyle w:val="Heading 1"/>
        <w:spacing/>
        <w:ind/>
        <w:rPr/>
      </w:pPr>
      <w:bookmarkStart w:name="מידע_נוסף" w:id="28"/>
      <w:r>
        <w:rPr/>
        <w:t xml:space="preserve">6.</w:t>
      </w:r>
      <w:r>
        <w:rPr/>
        <w:t xml:space="preserve"> </w:t>
      </w:r>
      <w:r>
        <w:rPr/>
        <w:t xml:space="preserve">Further information</w:t>
      </w:r>
    </w:p>
    <w:p>
      <w:pPr>
        <w:pBdr/>
        <w:pStyle w:val="Heading 2"/>
        <w:spacing/>
        <w:ind/>
        <w:rPr/>
      </w:pPr>
      <w:bookmarkStart w:name="נוסף_על_המרכיב_הפעיל_התרופה_מכילה_גם" w:id="29"/>
      <w:r>
        <w:rPr/>
        <w:t xml:space="preserve">In addition to the active ingredient,</w:t>
      </w:r>
      <w:r>
        <w:rPr/>
        <w:t xml:space="preserve"> </w:t>
      </w:r>
      <w:r>
        <w:rPr/>
        <w:t xml:space="preserve">the medicine also contains: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200,</w:t>
      </w:r>
      <w:r>
        <w:rPr/>
        <w:t xml:space="preserve"> </w:t>
      </w:r>
      <w:r>
        <w:rPr/>
        <w:t xml:space="preserve">capsules: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magnesium stearate, </w:t>
      </w:r>
      <w:r>
        <w:rPr/>
        <w:t xml:space="preserve">colloidal silicon </w:t>
      </w:r>
      <w:r>
        <w:rPr/>
        <w:t xml:space="preserve">dioxide; Capsule shell contains gelatin, water, titanium dioxide, </w:t>
      </w:r>
      <w:r>
        <w:rPr/>
        <w:t xml:space="preserve">sodium lauryl sulphate, iron </w:t>
      </w:r>
      <w:r>
        <w:rPr/>
        <w:t xml:space="preserve">oxide red, iron oxide black, FD&amp;C Red 3.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300,</w:t>
      </w:r>
      <w:r>
        <w:rPr/>
        <w:t xml:space="preserve"> </w:t>
      </w:r>
      <w:r>
        <w:rPr/>
        <w:t xml:space="preserve">capsules: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magnesium stearate, </w:t>
      </w:r>
      <w:r>
        <w:rPr/>
        <w:t xml:space="preserve">colloidal silicon </w:t>
      </w:r>
      <w:r>
        <w:rPr/>
        <w:t xml:space="preserve">dioxide; Capsule shell contains gelatin, water, titanium dioxide, </w:t>
      </w:r>
      <w:r>
        <w:rPr/>
        <w:t xml:space="preserve">sodium lauryl sulphate, iron </w:t>
      </w:r>
      <w:r>
        <w:rPr/>
        <w:t xml:space="preserve">oxide red.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400,</w:t>
      </w:r>
      <w:r>
        <w:rPr/>
        <w:t xml:space="preserve"> </w:t>
      </w:r>
      <w:r>
        <w:rPr/>
        <w:t xml:space="preserve">tablets: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sodium starch glycolate, </w:t>
      </w:r>
      <w:r>
        <w:rPr/>
        <w:t xml:space="preserve">magnesium </w:t>
      </w:r>
      <w:r>
        <w:rPr/>
        <w:t xml:space="preserve">stearate; Tablet coating contains hydroxypropyl methyl cellulose, titanium </w:t>
      </w:r>
      <w:r>
        <w:rPr/>
        <w:t xml:space="preserve">dioxide, PEG 400, </w:t>
      </w:r>
      <w:r>
        <w:rPr/>
        <w:t xml:space="preserve">iron oxide red, iron oxide yellow.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500,</w:t>
      </w:r>
      <w:r>
        <w:rPr/>
        <w:t xml:space="preserve"> </w:t>
      </w:r>
      <w:r>
        <w:rPr/>
        <w:t xml:space="preserve">tablets:</w:t>
      </w:r>
    </w:p>
    <w:p>
      <w:pPr>
        <w:pBdr/>
        <w:pStyle w:val="Block Text"/>
        <w:spacing/>
        <w:ind/>
        <w:rPr/>
      </w:pPr>
      <w:r>
        <w:rPr/>
        <w:t xml:space="preserve">Lactose monohydrate, microcrystalline cellulose, povidone, sodium starch glycolate, </w:t>
      </w:r>
      <w:r>
        <w:rPr/>
        <w:t xml:space="preserve">magnesium </w:t>
      </w:r>
      <w:r>
        <w:rPr/>
        <w:t xml:space="preserve">stearate; Tablet coating contains hydroxypropyl methyl cellulose, titanium </w:t>
      </w:r>
      <w:r>
        <w:rPr/>
        <w:t xml:space="preserve">dioxide, PEG 400, </w:t>
      </w:r>
      <w:r>
        <w:rPr/>
        <w:t xml:space="preserve">D&amp;C Yellow #10 Aluminium Lake, FD&amp;C Blue #1 Aluminium </w:t>
      </w:r>
      <w:r>
        <w:rPr/>
        <w:t xml:space="preserve">Lake and FD&amp;C Red #40 Aluminium Lake</w:t>
      </w:r>
      <w:r>
        <w:rPr/>
        <w:t xml:space="preserve">.</w:t>
      </w:r>
    </w:p>
    <w:bookmarkEnd w:id="29"/>
    <w:p>
      <w:pPr>
        <w:pBdr/>
        <w:pStyle w:val="Heading 2"/>
        <w:spacing/>
        <w:ind/>
        <w:rPr/>
      </w:pPr>
      <w:bookmarkStart w:name="כיצד_נראית_התרופה_ומה_תוכן_האריזה" w:id="30"/>
      <w:r>
        <w:rPr/>
        <w:t xml:space="preserve">What the medicine looks like and the contents of the pack: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200,</w:t>
      </w:r>
      <w:r>
        <w:rPr/>
        <w:t xml:space="preserve"> </w:t>
      </w:r>
      <w:r>
        <w:rPr/>
        <w:t xml:space="preserve">capsules:</w:t>
      </w:r>
      <w:r>
        <w:rPr/>
        <w:t xml:space="preserve"> </w:t>
      </w:r>
    </w:p>
    <w:p>
      <w:pPr>
        <w:pBdr/>
        <w:pStyle w:val="Block Text"/>
        <w:spacing/>
        <w:ind/>
        <w:rPr/>
      </w:pPr>
      <w:r>
        <w:rPr/>
        <w:t xml:space="preserve">Dark pink gelatin capsule,</w:t>
      </w:r>
      <w:r>
        <w:rPr/>
        <w:t xml:space="preserve"> </w:t>
      </w:r>
      <w:r>
        <w:rPr/>
        <w:t xml:space="preserve">printed with</w:t>
      </w:r>
      <w:r>
        <w:rPr/>
        <w:t xml:space="preserve"> </w:t>
      </w:r>
      <w:r>
        <w:rPr/>
        <w:t xml:space="preserve">"ETO</w:t>
      </w:r>
      <w:r>
        <w:rPr/>
        <w:t xml:space="preserve"> </w:t>
      </w:r>
      <w:r>
        <w:rPr/>
        <w:t xml:space="preserve">200</w:t>
      </w:r>
      <w:r>
        <w:rPr/>
        <w:t xml:space="preserve"> </w:t>
      </w:r>
      <w:r>
        <w:rPr/>
        <w:t xml:space="preserve">MG"</w:t>
      </w:r>
      <w:r>
        <w:rPr/>
        <w:t xml:space="preserve"> </w:t>
      </w:r>
      <w:r>
        <w:rPr/>
        <w:t xml:space="preserve">in black on the capsule body </w:t>
      </w:r>
      <w:r>
        <w:rPr/>
        <w:t xml:space="preserve">and cap,</w:t>
      </w:r>
      <w:r>
        <w:rPr/>
        <w:t xml:space="preserve"> </w:t>
      </w:r>
      <w:r>
        <w:rPr/>
        <w:t xml:space="preserve">filled with white to off-white powder.</w:t>
      </w:r>
    </w:p>
    <w:p>
      <w:pPr>
        <w:pBdr/>
        <w:pStyle w:val="Block Text"/>
        <w:spacing/>
        <w:ind/>
        <w:rPr/>
      </w:pPr>
      <w:r>
        <w:rPr/>
        <w:t xml:space="preserve">The capsules are packaged in blisters.</w:t>
      </w:r>
      <w:r>
        <w:rPr/>
        <w:t xml:space="preserve"> </w:t>
      </w:r>
      <w:r>
        <w:rPr/>
        <w:t xml:space="preserve">Each package contains</w:t>
      </w:r>
      <w:r>
        <w:rPr/>
        <w:t xml:space="preserve"> </w:t>
      </w:r>
      <w:r>
        <w:rPr/>
        <w:t xml:space="preserve">5,</w:t>
      </w:r>
      <w:r>
        <w:rPr/>
        <w:t xml:space="preserve"> </w:t>
      </w:r>
      <w:r>
        <w:rPr/>
        <w:t xml:space="preserve">20,</w:t>
      </w:r>
      <w:r>
        <w:rPr/>
        <w:t xml:space="preserve"> </w:t>
      </w:r>
      <w:r>
        <w:rPr/>
        <w:t xml:space="preserve">30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100</w:t>
      </w:r>
      <w:r>
        <w:rPr/>
        <w:t xml:space="preserve"> </w:t>
      </w:r>
      <w:r>
        <w:rPr/>
        <w:t xml:space="preserve">capsules.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300,</w:t>
      </w:r>
      <w:r>
        <w:rPr/>
        <w:t xml:space="preserve"> </w:t>
      </w:r>
      <w:r>
        <w:rPr/>
        <w:t xml:space="preserve">capsules:</w:t>
      </w:r>
      <w:r>
        <w:rPr/>
        <w:t xml:space="preserve"> </w:t>
      </w:r>
    </w:p>
    <w:p>
      <w:pPr>
        <w:pBdr/>
        <w:pStyle w:val="Block Text"/>
        <w:spacing/>
        <w:ind/>
        <w:rPr/>
      </w:pPr>
      <w:r>
        <w:rPr/>
        <w:t xml:space="preserve">Light pink gelatin capsule,</w:t>
      </w:r>
      <w:r>
        <w:rPr/>
        <w:t xml:space="preserve"> </w:t>
      </w:r>
      <w:r>
        <w:rPr/>
        <w:t xml:space="preserve">printed with</w:t>
      </w:r>
      <w:r>
        <w:rPr/>
        <w:t xml:space="preserve"> </w:t>
      </w:r>
      <w:r>
        <w:rPr/>
        <w:t xml:space="preserve">"ETO</w:t>
      </w:r>
      <w:r>
        <w:rPr/>
        <w:t xml:space="preserve"> </w:t>
      </w:r>
      <w:r>
        <w:rPr/>
        <w:t xml:space="preserve">300</w:t>
      </w:r>
      <w:r>
        <w:rPr/>
        <w:t xml:space="preserve"> </w:t>
      </w:r>
      <w:r>
        <w:rPr/>
        <w:t xml:space="preserve">MG"</w:t>
      </w:r>
      <w:r>
        <w:rPr/>
        <w:t xml:space="preserve"> </w:t>
      </w:r>
      <w:r>
        <w:rPr/>
        <w:t xml:space="preserve">in black on the capsule body </w:t>
      </w:r>
      <w:r>
        <w:rPr/>
        <w:t xml:space="preserve">and cap,</w:t>
      </w:r>
      <w:r>
        <w:rPr/>
        <w:t xml:space="preserve"> </w:t>
      </w:r>
      <w:r>
        <w:rPr/>
        <w:t xml:space="preserve">filled with white to off-white powder.</w:t>
      </w:r>
    </w:p>
    <w:p>
      <w:pPr>
        <w:pBdr/>
        <w:pStyle w:val="Block Text"/>
        <w:spacing/>
        <w:ind/>
        <w:rPr/>
      </w:pPr>
      <w:r>
        <w:rPr/>
        <w:t xml:space="preserve">The capsules are packaged in blisters.</w:t>
      </w:r>
      <w:r>
        <w:rPr/>
        <w:t xml:space="preserve"> </w:t>
      </w:r>
      <w:r>
        <w:rPr/>
        <w:t xml:space="preserve">Each package contains</w:t>
      </w:r>
      <w:r>
        <w:rPr/>
        <w:t xml:space="preserve"> </w:t>
      </w:r>
      <w:r>
        <w:rPr/>
        <w:t xml:space="preserve">6,</w:t>
      </w:r>
      <w:r>
        <w:rPr/>
        <w:t xml:space="preserve"> </w:t>
      </w:r>
      <w:r>
        <w:rPr/>
        <w:t xml:space="preserve">30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100</w:t>
      </w:r>
      <w:r>
        <w:rPr/>
        <w:t xml:space="preserve"> </w:t>
      </w:r>
      <w:r>
        <w:rPr/>
        <w:t xml:space="preserve">capsules.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400,</w:t>
      </w:r>
      <w:r>
        <w:rPr/>
        <w:t xml:space="preserve"> </w:t>
      </w:r>
      <w:r>
        <w:rPr/>
        <w:t xml:space="preserve">tablets:</w:t>
      </w:r>
    </w:p>
    <w:p>
      <w:pPr>
        <w:pBdr/>
        <w:pStyle w:val="Block Text"/>
        <w:spacing/>
        <w:ind/>
        <w:rPr/>
      </w:pPr>
      <w:r>
        <w:rPr/>
        <w:t xml:space="preserve">Capsule-shaped, peach-colored, film-coated tablet.</w:t>
      </w:r>
      <w:r>
        <w:rPr/>
        <w:t xml:space="preserve"> </w:t>
      </w:r>
      <w:r>
        <w:rPr/>
        <w:t xml:space="preserve">Engraved on one side:</w:t>
      </w:r>
      <w:r>
        <w:rPr/>
        <w:t xml:space="preserve"> </w:t>
      </w:r>
      <w:r>
        <w:rPr/>
        <w:t xml:space="preserve">"T88".</w:t>
      </w:r>
    </w:p>
    <w:p>
      <w:pPr>
        <w:pBdr/>
        <w:pStyle w:val="Block Text"/>
        <w:spacing/>
        <w:ind/>
        <w:rPr/>
      </w:pPr>
      <w:r>
        <w:rPr/>
        <w:t xml:space="preserve">The tablets are packaged in blisters.</w:t>
      </w:r>
      <w:r>
        <w:rPr/>
        <w:t xml:space="preserve"> </w:t>
      </w:r>
      <w:r>
        <w:rPr/>
        <w:t xml:space="preserve">Each package contains</w:t>
      </w:r>
      <w:r>
        <w:rPr/>
        <w:t xml:space="preserve"> </w:t>
      </w:r>
      <w:r>
        <w:rPr/>
        <w:t xml:space="preserve">10,</w:t>
      </w:r>
      <w:r>
        <w:rPr/>
        <w:t xml:space="preserve"> </w:t>
      </w:r>
      <w:r>
        <w:rPr/>
        <w:t xml:space="preserve">12,</w:t>
      </w:r>
      <w:r>
        <w:rPr/>
        <w:t xml:space="preserve"> </w:t>
      </w:r>
      <w:r>
        <w:rPr/>
        <w:t xml:space="preserve">30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100</w:t>
      </w:r>
      <w:r>
        <w:rPr/>
        <w:t xml:space="preserve"> </w:t>
      </w:r>
      <w:r>
        <w:rPr/>
        <w:t xml:space="preserve">tablets.</w:t>
      </w:r>
    </w:p>
    <w:p>
      <w:pPr>
        <w:pBdr/>
        <w:pStyle w:val="Block Text"/>
        <w:spacing/>
        <w:ind/>
        <w:rPr/>
      </w:pPr>
      <w:r>
        <w:rPr/>
        <w:t xml:space="preserve">Etopan</w:t>
      </w:r>
      <w:r>
        <w:rPr/>
        <w:t xml:space="preserve"> </w:t>
      </w:r>
      <w:r>
        <w:rPr/>
        <w:t xml:space="preserve">500,</w:t>
      </w:r>
      <w:r>
        <w:rPr/>
        <w:t xml:space="preserve"> </w:t>
      </w:r>
      <w:r>
        <w:rPr/>
        <w:t xml:space="preserve">tablets:</w:t>
      </w:r>
    </w:p>
    <w:p>
      <w:pPr>
        <w:pBdr/>
        <w:pStyle w:val="Block Text"/>
        <w:spacing/>
        <w:ind/>
        <w:rPr/>
      </w:pPr>
      <w:r>
        <w:rPr/>
        <w:t xml:space="preserve">Elliptical, blue, film-coated tablet.</w:t>
      </w:r>
      <w:r>
        <w:rPr/>
        <w:t xml:space="preserve"> </w:t>
      </w:r>
      <w:r>
        <w:rPr/>
        <w:t xml:space="preserve">Engraved on one side:</w:t>
      </w:r>
      <w:r>
        <w:rPr/>
        <w:t xml:space="preserve"> </w:t>
      </w:r>
      <w:r>
        <w:rPr/>
        <w:t xml:space="preserve">"TARO",</w:t>
      </w:r>
      <w:r>
        <w:rPr/>
        <w:t xml:space="preserve"> </w:t>
      </w:r>
      <w:r>
        <w:rPr/>
        <w:t xml:space="preserve">on the other side:</w:t>
      </w:r>
      <w:r>
        <w:rPr/>
        <w:t xml:space="preserve"> </w:t>
      </w:r>
      <w:r>
        <w:rPr/>
        <w:t xml:space="preserve">"89".</w:t>
      </w:r>
    </w:p>
    <w:p>
      <w:pPr>
        <w:pBdr/>
        <w:pStyle w:val="Block Text"/>
        <w:spacing/>
        <w:ind/>
        <w:rPr/>
      </w:pPr>
      <w:r>
        <w:rPr/>
        <w:t xml:space="preserve">The tablets are packaged in blisters.</w:t>
      </w:r>
      <w:r>
        <w:rPr/>
        <w:t xml:space="preserve"> </w:t>
      </w:r>
      <w:r>
        <w:rPr/>
        <w:t xml:space="preserve">Each package contains</w:t>
      </w:r>
      <w:r>
        <w:rPr/>
        <w:t xml:space="preserve"> </w:t>
      </w:r>
      <w:r>
        <w:rPr/>
        <w:t xml:space="preserve">4,</w:t>
      </w:r>
      <w:r>
        <w:rPr/>
        <w:t xml:space="preserve"> </w:t>
      </w:r>
      <w:r>
        <w:rPr/>
        <w:t xml:space="preserve">20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30</w:t>
      </w:r>
      <w:r>
        <w:rPr/>
        <w:t xml:space="preserve"> </w:t>
      </w:r>
      <w:r>
        <w:rPr/>
        <w:t xml:space="preserve">tablets.</w:t>
      </w:r>
    </w:p>
    <w:p>
      <w:pPr>
        <w:pBdr/>
        <w:pStyle w:val="Block Text"/>
        <w:spacing/>
        <w:ind/>
        <w:rPr/>
      </w:pPr>
      <w:r>
        <w:rPr/>
        <w:t xml:space="preserve">Not all pack sizes may be marketed.</w:t>
      </w:r>
    </w:p>
    <w:bookmarkEnd w:id="30"/>
    <w:p>
      <w:pPr>
        <w:pBdr/>
        <w:pStyle w:val="Heading 2"/>
        <w:spacing/>
        <w:ind/>
        <w:rPr/>
      </w:pPr>
      <w:bookmarkStart w:name="שם_היצרן_ובעל_הרישום_וכתובתו" w:id="31"/>
      <w:r>
        <w:rPr/>
        <w:t xml:space="preserve">Manufacturer and registration holder name and address:</w:t>
      </w:r>
    </w:p>
    <w:p>
      <w:pPr>
        <w:pBdr/>
        <w:pStyle w:val="Block Text"/>
        <w:spacing/>
        <w:ind/>
        <w:rPr/>
      </w:pPr>
      <w:r>
        <w:rPr/>
        <w:t xml:space="preserve">Taro Pharmaceutical Industries Ltd., 14 Hakitor St., Haifa Bay 2624761</w:t>
      </w:r>
    </w:p>
    <w:bookmarkEnd w:id="31"/>
    <w:p>
      <w:pPr>
        <w:pBdr/>
        <w:pStyle w:val="Heading 2"/>
        <w:spacing/>
        <w:ind/>
        <w:rPr/>
      </w:pPr>
      <w:bookmarkStart w:name="X257243968559ba0110c96faadc59f9954a7a443" w:id="32"/>
      <w:r>
        <w:rPr/>
        <w:t xml:space="preserve">Registration number of the medicine in the National Drug Registry of </w:t>
      </w:r>
      <w:r>
        <w:rPr/>
        <w:t xml:space="preserve">the Ministry of Healt</w:t>
      </w:r>
      <w:r>
        <w:rPr/>
        <w:t xml:space="preserve">h: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5363"/>
        <w:gridCol w:w="4117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10570.29074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</w:t>
            </w:r>
            <w:r>
              <w:rPr/>
              <w:t xml:space="preserve"> </w:t>
            </w:r>
            <w:r>
              <w:rPr/>
              <w:t xml:space="preserve">200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10571.29075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</w:t>
            </w:r>
            <w:r>
              <w:rPr/>
              <w:t xml:space="preserve"> </w:t>
            </w:r>
            <w:r>
              <w:rPr/>
              <w:t xml:space="preserve">300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10569.28990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</w:t>
            </w:r>
            <w:r>
              <w:rPr/>
              <w:t xml:space="preserve"> </w:t>
            </w:r>
            <w:r>
              <w:rPr/>
              <w:t xml:space="preserve">400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11492.29689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Block Text"/>
              <w:spacing/>
              <w:ind/>
              <w:jc w:val="left"/>
              <w:rPr/>
            </w:pPr>
            <w:r>
              <w:rPr/>
              <w:t xml:space="preserve">Etopan</w:t>
            </w:r>
            <w:r>
              <w:rPr/>
              <w:t xml:space="preserve"> </w:t>
            </w:r>
            <w:r>
              <w:rPr/>
              <w:t xml:space="preserve">500</w:t>
            </w:r>
          </w:p>
        </w:tc>
      </w:tr>
    </w:tbl>
    <w:p>
      <w:pPr>
        <w:pBdr/>
        <w:pStyle w:val="Block Text"/>
        <w:spacing/>
        <w:ind/>
        <w:rPr/>
      </w:pPr>
      <w:r>
        <w:rPr/>
        <w:t xml:space="preserve">Revised in September</w:t>
      </w:r>
      <w:r>
        <w:rPr/>
        <w:t xml:space="preserve"> </w:t>
      </w:r>
      <w:r>
        <w:rPr/>
        <w:t xml:space="preserve">2023</w:t>
      </w:r>
      <w:r>
        <w:rPr/>
        <w:t xml:space="preserve"> </w:t>
      </w:r>
      <w:r>
        <w:rPr/>
        <w:t xml:space="preserve">in accordance with the guidelines of the Ministry of </w:t>
      </w:r>
      <w:r>
        <w:rPr/>
        <w:t xml:space="preserve">Health.</w:t>
      </w:r>
    </w:p>
    <w:p>
      <w:pPr>
        <w:pBdr/>
        <w:pStyle w:val="First Paragraph"/>
        <w:spacing/>
        <w:ind/>
        <w:rPr/>
      </w:pPr>
      <w:r>
        <w:rPr/>
        <w:t xml:space="preserve">For simplicity and clarity, this leaflet was phrased in the masculine gender.</w:t>
      </w:r>
      <w:r>
        <w:rPr/>
        <w:t xml:space="preserve"> </w:t>
      </w:r>
      <w:r>
        <w:rPr/>
        <w:t xml:space="preserve">However,</w:t>
      </w:r>
      <w:r>
        <w:rPr/>
        <w:t xml:space="preserve"> </w:t>
      </w:r>
      <w:r>
        <w:rPr/>
        <w:t xml:space="preserve">the </w:t>
      </w:r>
      <w:r>
        <w:rPr/>
        <w:t xml:space="preserve">medicine is intended for both genders.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576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First Paragraph"/>
              <w:spacing/>
              <w:ind/>
              <w:rPr/>
            </w:pPr>
            <w:r>
              <w:rPr>
                <w:b/>
                <w:bCs/>
              </w:rPr>
              <w:t xml:space="preserve">For further information about the medicinal product and for updated patient leaflets in </w:t>
            </w:r>
            <w:r>
              <w:rPr>
                <w:b/>
                <w:bCs/>
              </w:rPr>
              <w:t xml:space="preserve">Hebrew, </w:t>
            </w:r>
            <w:r>
              <w:rPr>
                <w:b/>
                <w:bCs/>
              </w:rPr>
              <w:t xml:space="preserve">Arabic and English, please scan the following code:</w:t>
            </w:r>
          </w:p>
          <w:p>
            <w:pPr>
              <w:pBdr/>
              <w:pStyle w:val="Body Text"/>
              <w:spacing/>
              <w:ind/>
              <w:rPr/>
            </w:pPr>
            <w:r>
              <w:rPr>
                <w:b/>
                <w:bCs/>
              </w:rPr>
              <w:t xml:space="preserve">For further information about the medicinal product and for updated patient leaflets in </w:t>
            </w:r>
            <w:r>
              <w:rPr>
                <w:b/>
                <w:bCs/>
              </w:rPr>
              <w:t xml:space="preserve">Hebrew, </w:t>
            </w:r>
            <w:r>
              <w:rPr>
                <w:b/>
                <w:bCs/>
              </w:rPr>
              <w:t xml:space="preserve">Arabic and English, please scan the code:</w:t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A qr code with black squares Description automatically generated</w:t>
            </w:r>
            <w:r>
              <w:rPr/>
              <w:t xml:space="preserve"> </w:t>
            </w:r>
            <w:r>
              <w:rPr/>
              <w:t xml:space="preserve">A qr code on a white </w:t>
            </w:r>
            <w:r>
              <w:rPr/>
              <w:t xml:space="preserve">background Description automatically generated</w:t>
            </w:r>
            <w:r>
              <w:rPr/>
              <w:t xml:space="preserve"> </w:t>
            </w:r>
            <w:r>
              <w:rPr/>
              <w:t xml:space="preserve">A qr code on a white background Description </w:t>
            </w:r>
            <w:r>
              <w:rPr/>
              <w:t xml:space="preserve">automatically generated</w:t>
            </w:r>
            <w:r>
              <w:rPr/>
              <w:t xml:space="preserve"> </w:t>
            </w:r>
            <w:r>
              <w:rPr/>
              <w:t xml:space="preserve">A qr code on a white background Description automatically generated</w:t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200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300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400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Etopan 500</w:t>
            </w:r>
          </w:p>
          <w:tbl>
            <w:tblPr>
              <w:tblStyle w:val="Tabl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9576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Block Tex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Etopan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type="auto" w:w="0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Compact"/>
                    <w:spacing/>
                    <w:ind/>
                    <w:jc w:val="left"/>
                    <w:rPr/>
                  </w:pPr>
                  <w:r>
                    <w:rPr>
                      <w:b/>
                      <w:bCs/>
                    </w:rPr>
                    <w:t xml:space="preserve">200</w:t>
                  </w:r>
                </w:p>
              </w:tc>
            </w:tr>
          </w:tbl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"https://israeldrugs.health.gov.il/#!/medDetails/105%2070%2029074%2000"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https://israeldrugs.health.gov.il/#!/medDetails/105%2070%2029074%2000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"https://israeldrugs.health.gov.il/#!/medDetails/105%2071%2029075%2000"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https://israeldrugs.health.gov.il/#!/medDetails/105%2071%2029075%2000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"https://israeldrugs.health.gov.il/#!/medDetails/105%2069%2028990%2000"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https://israeldrugs.health.gov.il/#!/medDetails/105%2069%2028990%2000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fldChar w:fldCharType="begin"/>
            </w:r>
            <w:r>
              <w:rPr/>
              <w:instrText xml:space="preserve">HYPERLINK "https://israeldrugs.health.gov.il/#!/medDetails/114%2092%2029689%2000" </w:instrText>
            </w:r>
            <w:r>
              <w:rPr/>
              <w:fldChar w:fldCharType="separate"/>
            </w:r>
            <w:r>
              <w:rPr>
                <w:rStyle w:val="Hyperlink"/>
                <w:b/>
                <w:bCs/>
              </w:rPr>
              <w:t xml:space="preserve">https://israeldrugs.health.gov.il/#!/medDetails/114%2092%2029689%2000</w:t>
            </w:r>
            <w:r>
              <w:rPr/>
              <w:fldChar w:fldCharType="end"/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For a printed copy of the patient information leaflet in English, please contact the registration </w:t>
            </w:r>
            <w:r>
              <w:rPr/>
              <w:t xml:space="preserve">holder by email</w:t>
            </w:r>
            <w:r>
              <w:rPr/>
              <w:t xml:space="preserve"> </w:t>
            </w:r>
            <w:r>
              <w:rPr>
                <w:u w:val="single"/>
              </w:rPr>
              <w:t xml:space="preserve">Info@taro.com</w:t>
            </w:r>
            <w:r>
              <w:rPr/>
              <w:t xml:space="preserve"> </w:t>
            </w:r>
            <w:r>
              <w:rPr/>
              <w:t xml:space="preserve">or by phone</w:t>
            </w:r>
            <w:r>
              <w:rPr/>
              <w:t xml:space="preserve"> </w:t>
            </w:r>
            <w:r>
              <w:rPr/>
              <w:t xml:space="preserve">1-800-464-664</w:t>
            </w:r>
            <w:r>
              <w:rPr/>
              <w:t xml:space="preserve">.</w:t>
            </w:r>
          </w:p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For a printed copy of the patient information leaflet in English, please contact the registration </w:t>
            </w:r>
            <w:r>
              <w:rPr/>
              <w:t xml:space="preserve">holder by email</w:t>
            </w:r>
            <w:r>
              <w:rPr/>
              <w:t xml:space="preserve"> </w:t>
            </w:r>
            <w:r>
              <w:rPr>
                <w:u w:val="single"/>
              </w:rPr>
              <w:t xml:space="preserve">Info@taro.com</w:t>
            </w:r>
            <w:r>
              <w:rPr/>
              <w:t xml:space="preserve"> </w:t>
            </w:r>
            <w:r>
              <w:rPr/>
              <w:t xml:space="preserve">or by phone 1-800-464-664.</w:t>
            </w:r>
            <w:bookmarkEnd w:id="32"/>
            <w:bookmarkEnd w:id="28"/>
          </w:p>
        </w:tc>
      </w:tr>
    </w:tbl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991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 w:cs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 w:cs="Wingdings"/>
      </w:rPr>
    </w:lvl>
  </w:abstract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