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rFonts w:ascii="Arial" w:eastAsia="Arial" w:hAnsi="Arial" w:cs="Arial"/>
          <w:b/>
          <w:bCs/>
          <w:color w:val="000000"/>
          <w:sz w:val="20"/>
          <w:szCs w:val="20"/>
          <w:u w:val="single"/>
        </w:rPr>
      </w:pPr>
    </w:p>
    <w:p>
      <w:pPr>
        <w:pBdr/>
        <w:pStyle w:val="Normal"/>
        <w:spacing/>
        <w:ind/>
        <w:jc w:val="center"/>
        <w:rPr>
          <w:rFonts w:ascii="Arial" w:eastAsia="Arial" w:hAnsi="Arial" w:cs="Arial"/>
          <w:b/>
          <w:bCs/>
          <w:rtl/>
          <w:color w:val="000000"/>
          <w:sz w:val="20"/>
          <w:szCs w:val="20"/>
          <w:u w:val="single"/>
        </w:rPr>
      </w:pPr>
    </w:p>
    <w:p>
      <w:pPr>
        <w:pBdr/>
        <w:pStyle w:val="Normal"/>
        <w:spacing/>
        <w:ind/>
        <w:jc w:val="center"/>
        <w:rPr>
          <w:rFonts w:ascii="Arial" w:eastAsia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Arial" w:hAnsi="Arial"/>
          <w:b/>
          <w:bCs/>
          <w:color w:val="000000"/>
          <w:sz w:val="20"/>
          <w:szCs w:val="20"/>
          <w:u w:val="single"/>
        </w:rPr>
        <w:t xml:space="preserve">Patient leaflet in accordance with the Pharmacists' Regulations (Preparations) - 1986</w:t>
      </w:r>
    </w:p>
    <w:p>
      <w:pPr>
        <w:pBdr/>
        <w:pStyle w:val="Normal"/>
        <w:spacing/>
        <w:ind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This medicine is dispensed with a doctor's prescription only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b/>
          <w:bCs/>
          <w:color w:val="000000"/>
          <w:sz w:val="20"/>
          <w:szCs w:val="20"/>
          <w:u w:val="single"/>
        </w:rPr>
      </w:pPr>
    </w:p>
    <w:p>
      <w:pPr>
        <w:pBdr/>
        <w:pStyle w:val="Normal"/>
        <w:spacing/>
        <w:ind w:left="-625" w:right="-709"/>
        <w:rPr>
          <w:rFonts w:ascii="Arial" w:eastAsia="Arial" w:hAnsi="Arial" w:cs="Arial"/>
          <w:b/>
          <w:bCs/>
          <w:color w:val="000000"/>
        </w:rPr>
      </w:pPr>
      <w:bookmarkStart w:name="OLE_LINK3" w:id="0"/>
      <w:bookmarkStart w:name="OLE_LINK4" w:id="1"/>
      <w:r>
        <w:rPr>
          <w:rFonts w:ascii="Arial" w:eastAsia="Arial" w:hAnsi="Arial"/>
          <w:b/>
          <w:bCs/>
          <w:color w:val="000000"/>
        </w:rPr>
        <w:t xml:space="preserve">Paracetamol</w:t>
      </w:r>
      <w:r>
        <w:rPr>
          <w:rFonts w:ascii="Arial" w:eastAsia="Arial" w:hAnsi="Arial"/>
          <w:b/>
          <w:bCs/>
          <w:color w:val="000000"/>
          <w:vertAlign w:val="superscript"/>
        </w:rPr>
        <w:t xml:space="preserve">®</w:t>
      </w:r>
      <w:r>
        <w:rPr>
          <w:rFonts w:ascii="Arial" w:eastAsia="Arial" w:hAnsi="Arial"/>
          <w:b/>
          <w:bCs/>
          <w:color w:val="000000"/>
        </w:rPr>
        <w:t xml:space="preserve"> </w:t>
      </w:r>
      <w:r>
        <w:rPr>
          <w:rFonts w:ascii="Arial" w:eastAsia="Arial" w:hAnsi="Arial"/>
          <w:b/>
          <w:bCs/>
          <w:color w:val="000000"/>
        </w:rPr>
        <w:t xml:space="preserve">20 mg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/>
          <w:b/>
          <w:bCs/>
          <w:color w:val="000000"/>
        </w:rPr>
        <w:t xml:space="preserve">Paracetamol</w:t>
      </w:r>
      <w:r>
        <w:rPr>
          <w:rFonts w:ascii="Arial" w:eastAsia="Arial" w:hAnsi="Arial"/>
          <w:b/>
          <w:bCs/>
          <w:color w:val="000000"/>
          <w:vertAlign w:val="superscript"/>
        </w:rPr>
        <w:t xml:space="preserve">®</w:t>
      </w:r>
      <w:r>
        <w:rPr>
          <w:rFonts w:ascii="Arial" w:eastAsia="Arial" w:hAnsi="Arial"/>
          <w:b/>
          <w:bCs/>
          <w:color w:val="000000"/>
        </w:rPr>
        <w:t xml:space="preserve"> </w:t>
      </w:r>
      <w:r>
        <w:rPr>
          <w:rFonts w:ascii="Arial" w:eastAsia="Arial" w:hAnsi="Arial"/>
          <w:b/>
          <w:bCs/>
          <w:color w:val="000000"/>
        </w:rPr>
        <w:t xml:space="preserve">40 mg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/>
          <w:b/>
          <w:bCs/>
          <w:color w:val="000000"/>
        </w:rPr>
        <w:t xml:space="preserve">Paracetamol</w:t>
      </w:r>
      <w:r>
        <w:rPr>
          <w:rFonts w:ascii="Arial" w:eastAsia="Arial" w:hAnsi="Arial"/>
          <w:b/>
          <w:bCs/>
          <w:color w:val="000000"/>
          <w:vertAlign w:val="superscript"/>
        </w:rPr>
        <w:t xml:space="preserve">®</w:t>
      </w:r>
      <w:r>
        <w:rPr>
          <w:rFonts w:ascii="Arial" w:eastAsia="Arial" w:hAnsi="Arial"/>
          <w:b/>
          <w:bCs/>
          <w:color w:val="000000"/>
        </w:rPr>
        <w:t xml:space="preserve"> 80 mg</w:t>
      </w:r>
    </w:p>
    <w:bookmarkEnd w:id="0"/>
    <w:bookmarkEnd w:id="1"/>
    <w:p>
      <w:pPr>
        <w:pBdr/>
        <w:pStyle w:val="Normal"/>
        <w:spacing/>
        <w:ind w:left="-625" w:right="-709"/>
        <w:tabs>
          <w:tab w:val="left" w:pos="6547.9998779296875"/>
        </w:tabs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/>
          <w:b/>
          <w:bCs/>
          <w:color w:val="000000"/>
        </w:rPr>
        <w:t xml:space="preserve">Film-coated tablets</w:t>
      </w:r>
    </w:p>
    <w:p>
      <w:pPr>
        <w:pBdr/>
        <w:pStyle w:val="Normal"/>
        <w:spacing/>
        <w:ind w:left="-625" w:right="-709"/>
        <w:tabs>
          <w:tab w:val="left" w:pos="6547.9998779296875"/>
        </w:tabs>
        <w:rPr>
          <w:rFonts w:ascii="Arial" w:eastAsia="Arial" w:hAnsi="Arial" w:cs="Arial"/>
          <w:b/>
          <w:bCs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625" w:right="-709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Each film-coated tablet contains: 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eletriptan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(as hydrobromide) 20 mg, 40 mg, 80 mg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b/>
          <w:bCs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625" w:right="-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List of inactive ingredients and allergens: See section 2 under </w:t>
      </w:r>
      <w:r>
        <w:rPr>
          <w:rFonts w:ascii="Arial" w:eastAsia="Arial" w:hAnsi="Arial"/>
          <w:b/>
          <w:bCs/>
          <w:sz w:val="20"/>
          <w:szCs w:val="20"/>
        </w:rPr>
        <w:t xml:space="preserve">‘Important information about some of this </w:t>
      </w:r>
      <w:r>
        <w:rPr>
          <w:rFonts w:ascii="Arial" w:eastAsia="Arial" w:hAnsi="Arial"/>
          <w:b/>
          <w:bCs/>
          <w:sz w:val="20"/>
          <w:szCs w:val="20"/>
        </w:rPr>
        <w:t xml:space="preserve">medicine’s ingredients’</w:t>
      </w:r>
      <w:r>
        <w:rPr>
          <w:rFonts w:ascii="Arial" w:eastAsia="Arial" w:hAnsi="Arial"/>
          <w:sz w:val="20"/>
          <w:szCs w:val="20"/>
        </w:rPr>
        <w:t xml:space="preserve"> and section 6 ‘</w:t>
      </w:r>
      <w:r>
        <w:rPr>
          <w:rFonts w:ascii="Arial" w:eastAsia="Arial" w:hAnsi="Arial"/>
          <w:b/>
          <w:bCs/>
          <w:sz w:val="20"/>
          <w:szCs w:val="20"/>
        </w:rPr>
        <w:t xml:space="preserve">Further information</w:t>
      </w:r>
      <w:r>
        <w:rPr>
          <w:rFonts w:ascii="Arial" w:eastAsia="Arial" w:hAnsi="Arial"/>
          <w:sz w:val="20"/>
          <w:szCs w:val="20"/>
        </w:rPr>
        <w:t xml:space="preserve">'.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625"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Read the entire leaflet carefully before using this medicine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.</w:t>
      </w:r>
      <w:r>
        <w:rPr>
          <w:rFonts w:ascii="Arial" w:eastAsia="Arial" w:hAnsi="Arial"/>
          <w:color w:val="000000"/>
          <w:sz w:val="20"/>
          <w:szCs w:val="20"/>
        </w:rPr>
        <w:t xml:space="preserve"> This leaflet contains concise information </w:t>
      </w:r>
      <w:r>
        <w:rPr>
          <w:rFonts w:ascii="Arial" w:eastAsia="Arial" w:hAnsi="Arial"/>
          <w:color w:val="000000"/>
          <w:sz w:val="20"/>
          <w:szCs w:val="20"/>
        </w:rPr>
        <w:t xml:space="preserve">about this medicine. If you have any further questions, </w:t>
      </w:r>
      <w:r>
        <w:rPr>
          <w:rFonts w:ascii="Arial" w:eastAsia="Arial" w:hAnsi="Arial"/>
          <w:color w:val="000000"/>
          <w:sz w:val="20"/>
          <w:szCs w:val="20"/>
        </w:rPr>
        <w:t xml:space="preserve">consult your doctor or pharmacist.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625"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This medicine has been prescribed for you. Do not pass it on to others. It may harm them, even </w:t>
      </w:r>
      <w:r>
        <w:rPr>
          <w:rFonts w:ascii="Arial" w:eastAsia="Arial" w:hAnsi="Arial"/>
          <w:color w:val="000000"/>
          <w:sz w:val="20"/>
          <w:szCs w:val="20"/>
        </w:rPr>
        <w:t xml:space="preserve">if it seems to </w:t>
      </w:r>
      <w:r>
        <w:rPr>
          <w:rFonts w:ascii="Arial" w:eastAsia="Arial" w:hAnsi="Arial"/>
          <w:color w:val="000000"/>
          <w:sz w:val="20"/>
          <w:szCs w:val="20"/>
        </w:rPr>
        <w:t xml:space="preserve">you that their medical condition is similar to yours. 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625" w:right="-709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numPr>
          <w:ilvl w:val="0"/>
          <w:numId w:val="10"/>
        </w:numPr>
        <w:spacing w:after="120"/>
        <w:ind w:right="-709" w:hanging="141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/>
          <w:b/>
          <w:bCs/>
          <w:color w:val="000000"/>
          <w:sz w:val="22"/>
          <w:szCs w:val="22"/>
        </w:rPr>
        <w:t xml:space="preserve">WHAT IS THIS MEDICINE INTENDED FOR?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b/>
          <w:bCs/>
          <w:color w:val="000000"/>
          <w:sz w:val="20"/>
          <w:szCs w:val="20"/>
          <w:u w:val="single"/>
        </w:rPr>
      </w:pPr>
    </w:p>
    <w:p>
      <w:pPr>
        <w:pBdr/>
        <w:pStyle w:val="Normal"/>
        <w:spacing w:line="270" w:lineRule="atLeast"/>
        <w:ind w:left="-625" w:right="-426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For acute treatment of the headache phase of a migraine attack, with or without aura (which </w:t>
      </w:r>
      <w:r>
        <w:rPr>
          <w:rFonts w:ascii="Arial" w:eastAsia="Arial" w:hAnsi="Arial"/>
          <w:color w:val="000000"/>
          <w:sz w:val="20"/>
          <w:szCs w:val="20"/>
        </w:rPr>
        <w:t xml:space="preserve">can be </w:t>
      </w:r>
      <w:r>
        <w:rPr>
          <w:rFonts w:ascii="Arial" w:eastAsia="Arial" w:hAnsi="Arial"/>
          <w:color w:val="000000"/>
          <w:sz w:val="20"/>
          <w:szCs w:val="20"/>
        </w:rPr>
        <w:t xml:space="preserve">expressed as vision problems, numbness and speech disorders).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b/>
          <w:bCs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625" w:right="-709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Therapeutic group: 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Selective </w:t>
      </w:r>
      <w:r>
        <w:rPr>
          <w:rFonts w:ascii="Arial" w:eastAsia="Arial" w:hAnsi="Arial"/>
          <w:color w:val="000000"/>
          <w:sz w:val="20"/>
          <w:szCs w:val="20"/>
        </w:rPr>
        <w:t xml:space="preserve">serotonin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receptor agonist.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rtl/>
          <w:color w:val="000000"/>
          <w:sz w:val="20"/>
          <w:szCs w:val="20"/>
          <w:u w:val="single"/>
        </w:rPr>
      </w:pPr>
    </w:p>
    <w:p>
      <w:pPr>
        <w:pBdr/>
        <w:pStyle w:val="Normal"/>
        <w:numPr>
          <w:ilvl w:val="0"/>
          <w:numId w:val="10"/>
        </w:numPr>
        <w:spacing/>
        <w:ind w:right="-709" w:hanging="1410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>
        <w:rPr>
          <w:rFonts w:ascii="Arial" w:eastAsia="Arial" w:hAnsi="Arial"/>
          <w:b/>
          <w:bCs/>
          <w:color w:val="000000"/>
          <w:sz w:val="22"/>
          <w:szCs w:val="22"/>
        </w:rPr>
        <w:t xml:space="preserve">BEFORE USING THIS MEDICINE</w:t>
      </w:r>
    </w:p>
    <w:p>
      <w:pPr>
        <w:pBdr/>
        <w:pStyle w:val="Normal"/>
        <w:spacing/>
        <w:ind w:right="-709" w:hanging="625"/>
        <w:rPr>
          <w:rFonts w:ascii="Arial" w:eastAsia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Arial" w:hAnsi="Arial"/>
          <w:b/>
          <w:bCs/>
          <w:color w:val="000000"/>
          <w:sz w:val="20"/>
          <w:szCs w:val="20"/>
          <w:u w:val="single"/>
        </w:rPr>
        <w:t xml:space="preserve">Do not use this medicine if: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20"/>
        </w:trPr>
        <w:tc>
          <w:tcPr>
            <w:tcW w:w="8522" w:type="dxa"/>
            <w:tcMar/>
            <w:tcBorders/>
            <w:shd w:fill="auto" w:color="auto" w:val="clear"/>
            <w:vAlign w:val="top"/>
          </w:tcPr>
          <w:p>
            <w:pPr>
              <w:pBdr/>
              <w:pStyle w:val="Normal"/>
              <w:numPr>
                <w:ilvl w:val="0"/>
                <w:numId w:val="8"/>
              </w:numPr>
              <w:spacing/>
              <w:ind w:left="373" w:right="-709" w:hanging="42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You are sensitive (allergic) to the active ingredient or to any of the other ingredients in </w:t>
            </w:r>
            <w:r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this </w:t>
            </w:r>
            <w:r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medicine (listed in section 6).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 w:left="373" w:right="-709" w:hanging="42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You have severe liver or kidney disease.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 w:left="373" w:right="-709" w:hanging="42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You have moderate to severe high blood pressure or untreated mild high blood pressure.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 w:left="373" w:right="-709" w:hanging="42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You have ever had heart problems (e.g., heart attack, angina, heart failure or significant </w:t>
            </w:r>
          </w:p>
          <w:p>
            <w:pPr>
              <w:pBdr/>
              <w:pStyle w:val="Normal"/>
              <w:spacing/>
              <w:ind w:left="373" w:right="-70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abnormal heart rhythm (arrhythmia), temporary and sudden narrowing of one of the coronary </w:t>
            </w:r>
            <w:r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arteries). 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 w:left="373" w:right="-709" w:hanging="42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You have poor blood circulation (peripheral vascular disease).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 w:left="373" w:right="-709" w:hanging="42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You have ever had a stroke (even a mild one that lasted for only a few minutes or hours).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 w:left="373" w:right="-709" w:hanging="42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If you have taken ergotamine or medicines like ergotamine (including </w:t>
            </w:r>
            <w:r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methysergide</w:t>
            </w:r>
            <w:r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) within 24 </w:t>
            </w:r>
            <w:r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hours before or after taking </w:t>
            </w:r>
            <w:r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Paracetamol</w:t>
            </w:r>
            <w:r>
              <w:rPr>
                <w:rFonts w:ascii="Arial" w:eastAsia="Arial" w:hAnsi="Arial"/>
                <w:color w:val="000000"/>
                <w:sz w:val="20"/>
                <w:szCs w:val="20"/>
                <w:vertAlign w:val="superscript"/>
              </w:rPr>
              <w:t xml:space="preserve">®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 w:left="373" w:right="-709" w:hanging="42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You are taking any other medicines that end in ‘triptan’ (for example, sumatriptan, </w:t>
            </w:r>
          </w:p>
          <w:p>
            <w:pPr>
              <w:pBdr/>
              <w:pStyle w:val="Normal"/>
              <w:spacing/>
              <w:ind w:left="373" w:right="-70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rizatriptan, naratriptan, zolmitriptan, </w:t>
            </w:r>
            <w:r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almotriptan</w:t>
            </w:r>
            <w:r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 and </w:t>
            </w:r>
            <w:r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frovatriptan</w:t>
            </w:r>
            <w:r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).</w:t>
            </w:r>
          </w:p>
          <w:p>
            <w:pPr>
              <w:pBdr/>
              <w:pStyle w:val="Normal"/>
              <w:spacing/>
              <w:ind w:right="-709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</w:tr>
    </w:tbl>
    <w:p>
      <w:pPr>
        <w:pBdr/>
        <w:pStyle w:val="Normal"/>
        <w:spacing/>
        <w:ind/>
        <w:rPr>
          <w:rFonts w:ascii="Arial" w:eastAsia="Arial" w:hAnsi="Arial" w:cs="Arial"/>
          <w:b/>
          <w:bCs/>
          <w:rtl/>
          <w:color w:val="000000"/>
          <w:sz w:val="20"/>
          <w:szCs w:val="20"/>
          <w:u w:val="single"/>
        </w:rPr>
      </w:pPr>
    </w:p>
    <w:p>
      <w:pPr>
        <w:pBdr/>
        <w:pStyle w:val="Normal"/>
        <w:spacing/>
        <w:ind w:left="-766" w:firstLine="283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Special warnings regarding use of the medicine</w:t>
      </w:r>
    </w:p>
    <w:p>
      <w:pPr>
        <w:pBdr/>
        <w:pStyle w:val="Normal"/>
        <w:spacing/>
        <w:ind w:left="-766" w:firstLine="283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Before treatment with 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Paracetamol</w:t>
      </w:r>
      <w:r>
        <w:rPr>
          <w:rFonts w:ascii="Arial" w:eastAsia="Arial" w:hAnsi="Arial"/>
          <w:b/>
          <w:bCs/>
          <w:color w:val="000000"/>
          <w:sz w:val="20"/>
          <w:szCs w:val="20"/>
          <w:vertAlign w:val="superscript"/>
        </w:rPr>
        <w:t xml:space="preserve">®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, tell your doctor if:</w:t>
      </w:r>
    </w:p>
    <w:p>
      <w:pPr>
        <w:pBdr/>
        <w:pStyle w:val="Normal"/>
        <w:numPr>
          <w:ilvl w:val="0"/>
          <w:numId w:val="14"/>
        </w:numPr>
        <w:spacing/>
        <w:ind w:left="-483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You have diabetes.</w:t>
      </w:r>
    </w:p>
    <w:p>
      <w:pPr>
        <w:pBdr/>
        <w:pStyle w:val="Normal"/>
        <w:numPr>
          <w:ilvl w:val="0"/>
          <w:numId w:val="14"/>
        </w:numPr>
        <w:spacing/>
        <w:ind w:left="-483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You smoke or use nicotine replacement therapy.</w:t>
      </w:r>
    </w:p>
    <w:p>
      <w:pPr>
        <w:pBdr/>
        <w:pStyle w:val="Normal"/>
        <w:numPr>
          <w:ilvl w:val="0"/>
          <w:numId w:val="14"/>
        </w:numPr>
        <w:spacing/>
        <w:ind w:left="-483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You are a man over the age of 40.</w:t>
      </w:r>
    </w:p>
    <w:p>
      <w:pPr>
        <w:pBdr/>
        <w:pStyle w:val="Normal"/>
        <w:numPr>
          <w:ilvl w:val="0"/>
          <w:numId w:val="14"/>
        </w:numPr>
        <w:spacing/>
        <w:ind w:left="-483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You are a post-menopausal woman.</w:t>
      </w:r>
    </w:p>
    <w:p>
      <w:pPr>
        <w:pBdr/>
        <w:pStyle w:val="Normal"/>
        <w:numPr>
          <w:ilvl w:val="0"/>
          <w:numId w:val="14"/>
        </w:numPr>
        <w:spacing/>
        <w:ind w:left="-483" w:firstLine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You or anybody in your family have coronary artery disease.</w:t>
      </w:r>
    </w:p>
    <w:p>
      <w:pPr>
        <w:pBdr/>
        <w:pStyle w:val="Normal"/>
        <w:numPr>
          <w:ilvl w:val="0"/>
          <w:numId w:val="14"/>
        </w:numPr>
        <w:spacing/>
        <w:ind w:left="0" w:hanging="483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You have ever been told that you may have an increased risk of heart disease, consult your </w:t>
      </w:r>
      <w:r>
        <w:rPr>
          <w:rFonts w:ascii="Arial" w:eastAsia="Arial" w:hAnsi="Arial"/>
          <w:color w:val="000000"/>
          <w:sz w:val="20"/>
          <w:szCs w:val="20"/>
        </w:rPr>
        <w:t xml:space="preserve">doctor before using </w:t>
      </w:r>
      <w:r>
        <w:rPr>
          <w:rFonts w:ascii="Arial" w:eastAsia="Arial" w:hAnsi="Arial"/>
          <w:color w:val="000000"/>
          <w:sz w:val="20"/>
          <w:szCs w:val="20"/>
        </w:rPr>
        <w:t xml:space="preserve">Paracetamol</w:t>
      </w:r>
      <w:r>
        <w:rPr>
          <w:rFonts w:ascii="Arial" w:eastAsia="Arial" w:hAnsi="Arial"/>
          <w:color w:val="000000"/>
          <w:sz w:val="20"/>
          <w:szCs w:val="20"/>
          <w:vertAlign w:val="superscript"/>
        </w:rPr>
        <w:t xml:space="preserve">®</w:t>
      </w:r>
      <w:r>
        <w:rPr>
          <w:rFonts w:ascii="Arial" w:eastAsia="Arial" w:hAnsi="Arial"/>
          <w:color w:val="000000"/>
          <w:sz w:val="20"/>
          <w:szCs w:val="20"/>
        </w:rPr>
        <w:t xml:space="preserve">.</w:t>
      </w:r>
    </w:p>
    <w:p>
      <w:pPr>
        <w:pBdr/>
        <w:pStyle w:val="Normal"/>
        <w:spacing/>
        <w:ind w:left="-843" w:firstLine="360"/>
        <w:rPr>
          <w:rFonts w:ascii="Arial" w:eastAsia="Arial" w:hAnsi="Arial" w:cs="Arial"/>
          <w:color w:val="000000"/>
          <w:sz w:val="20"/>
          <w:szCs w:val="20"/>
        </w:rPr>
      </w:pPr>
    </w:p>
    <w:p>
      <w:pPr>
        <w:pBdr/>
        <w:pStyle w:val="Normal"/>
        <w:spacing/>
        <w:ind w:left="-843" w:firstLine="360"/>
        <w:rPr>
          <w:rFonts w:ascii="Arial" w:eastAsia="Arial" w:hAnsi="Arial" w:cs="Arial"/>
          <w:color w:val="000000"/>
          <w:sz w:val="20"/>
          <w:szCs w:val="20"/>
        </w:rPr>
      </w:pPr>
    </w:p>
    <w:p>
      <w:pPr>
        <w:pBdr/>
        <w:pStyle w:val="Normal"/>
        <w:spacing/>
        <w:ind w:left="-843" w:firstLine="360"/>
        <w:rPr>
          <w:rFonts w:ascii="Arial" w:eastAsia="Arial" w:hAnsi="Arial" w:cs="Arial"/>
          <w:color w:val="000000"/>
          <w:sz w:val="20"/>
          <w:szCs w:val="20"/>
        </w:rPr>
      </w:pPr>
    </w:p>
    <w:p>
      <w:pPr>
        <w:pBdr/>
        <w:pStyle w:val="Normal"/>
        <w:spacing/>
        <w:ind w:left="-843" w:firstLine="360"/>
        <w:rPr>
          <w:rFonts w:ascii="Arial" w:eastAsia="Arial" w:hAnsi="Arial" w:cs="Arial"/>
          <w:color w:val="000000"/>
          <w:sz w:val="20"/>
          <w:szCs w:val="20"/>
        </w:rPr>
      </w:pPr>
    </w:p>
    <w:p>
      <w:pPr>
        <w:pBdr/>
        <w:pStyle w:val="Normal"/>
        <w:spacing/>
        <w:ind w:left="-843" w:firstLine="276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Repeat 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use of migraine medicines</w:t>
      </w:r>
    </w:p>
    <w:p>
      <w:pPr>
        <w:pBdr/>
        <w:pStyle w:val="Normal"/>
        <w:spacing/>
        <w:ind w:left="-56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If you </w:t>
      </w:r>
      <w:bookmarkStart w:name="_Hlk67907044" w:id="2"/>
      <w:r>
        <w:rPr>
          <w:rFonts w:ascii="Arial" w:eastAsia="Arial" w:hAnsi="Arial"/>
          <w:color w:val="000000"/>
          <w:sz w:val="20"/>
          <w:szCs w:val="20"/>
        </w:rPr>
        <w:t xml:space="preserve">repeatedly </w:t>
      </w:r>
      <w:bookmarkEnd w:id="2"/>
      <w:r>
        <w:rPr>
          <w:rFonts w:ascii="Arial" w:eastAsia="Arial" w:hAnsi="Arial"/>
          <w:color w:val="000000"/>
          <w:sz w:val="20"/>
          <w:szCs w:val="20"/>
        </w:rPr>
        <w:t xml:space="preserve">use </w:t>
      </w:r>
      <w:r>
        <w:rPr>
          <w:rFonts w:ascii="Arial" w:eastAsia="Arial" w:hAnsi="Arial"/>
          <w:color w:val="000000"/>
          <w:sz w:val="20"/>
          <w:szCs w:val="20"/>
        </w:rPr>
        <w:t xml:space="preserve">Paracetamol</w:t>
      </w:r>
      <w:r>
        <w:rPr>
          <w:rFonts w:ascii="Arial" w:eastAsia="Arial" w:hAnsi="Arial"/>
          <w:color w:val="000000"/>
          <w:sz w:val="20"/>
          <w:szCs w:val="20"/>
          <w:vertAlign w:val="superscript"/>
        </w:rPr>
        <w:t xml:space="preserve">®</w:t>
      </w:r>
      <w:r>
        <w:rPr>
          <w:rFonts w:ascii="Arial" w:eastAsia="Arial" w:hAnsi="Arial"/>
          <w:color w:val="000000"/>
          <w:sz w:val="20"/>
          <w:szCs w:val="20"/>
        </w:rPr>
        <w:t xml:space="preserve"> or any medicines for the treatment of migraine</w:t>
      </w:r>
      <w:r>
        <w:rPr>
          <w:rFonts w:ascii="Arial" w:eastAsia="Arial" w:hAnsi="Arial"/>
          <w:color w:val="000000"/>
          <w:sz w:val="20"/>
          <w:szCs w:val="20"/>
        </w:rPr>
        <w:t xml:space="preserve">s</w:t>
      </w:r>
      <w:r>
        <w:rPr>
          <w:rFonts w:ascii="Arial" w:eastAsia="Arial" w:hAnsi="Arial"/>
          <w:color w:val="000000"/>
          <w:sz w:val="20"/>
          <w:szCs w:val="20"/>
        </w:rPr>
        <w:t xml:space="preserve"> over several </w:t>
      </w:r>
      <w:r>
        <w:rPr>
          <w:rFonts w:ascii="Arial" w:eastAsia="Arial" w:hAnsi="Arial"/>
          <w:color w:val="000000"/>
          <w:sz w:val="20"/>
          <w:szCs w:val="20"/>
        </w:rPr>
        <w:t xml:space="preserve">days or weeks, this can cause daily long-term headaches. Tell your doctor if </w:t>
      </w:r>
      <w:r>
        <w:rPr>
          <w:rFonts w:ascii="Arial" w:eastAsia="Arial" w:hAnsi="Arial"/>
          <w:color w:val="000000"/>
          <w:sz w:val="20"/>
          <w:szCs w:val="20"/>
        </w:rPr>
        <w:t xml:space="preserve">you experience this, as </w:t>
      </w:r>
      <w:r>
        <w:rPr>
          <w:rFonts w:ascii="Arial" w:eastAsia="Arial" w:hAnsi="Arial"/>
          <w:color w:val="000000"/>
          <w:sz w:val="20"/>
          <w:szCs w:val="20"/>
        </w:rPr>
        <w:t xml:space="preserve">you might need to stop treatment for a while.</w:t>
      </w:r>
    </w:p>
    <w:p>
      <w:pPr>
        <w:pBdr/>
        <w:pStyle w:val="Normal"/>
        <w:spacing/>
        <w:ind w:left="-843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outlineLvl w:val="0"/>
        <w:spacing/>
        <w:ind w:left="-6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Children and adolescents </w:t>
      </w:r>
    </w:p>
    <w:p>
      <w:pPr>
        <w:pBdr/>
        <w:pStyle w:val="Normal"/>
        <w:outlineLvl w:val="0"/>
        <w:spacing/>
        <w:ind w:left="-6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This medicine is not </w:t>
      </w:r>
      <w:r>
        <w:rPr>
          <w:rFonts w:ascii="Arial" w:eastAsia="Arial" w:hAnsi="Arial"/>
          <w:color w:val="000000"/>
          <w:sz w:val="20"/>
          <w:szCs w:val="20"/>
        </w:rPr>
        <w:t xml:space="preserve">intended for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children and adolescents under 18 years of age.</w:t>
      </w:r>
    </w:p>
    <w:p>
      <w:pPr>
        <w:pBdr/>
        <w:pStyle w:val="Normal"/>
        <w:outlineLvl w:val="0"/>
        <w:spacing/>
        <w:ind w:left="-625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outlineLvl w:val="0"/>
        <w:spacing/>
        <w:ind w:left="-6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Elderly</w:t>
      </w:r>
    </w:p>
    <w:p>
      <w:pPr>
        <w:pBdr/>
        <w:pStyle w:val="Normal"/>
        <w:outlineLvl w:val="0"/>
        <w:spacing/>
        <w:ind w:left="-6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This medicine is not intended for </w:t>
      </w:r>
      <w:r>
        <w:rPr>
          <w:rFonts w:ascii="Arial" w:eastAsia="Arial" w:hAnsi="Arial"/>
          <w:color w:val="000000"/>
          <w:sz w:val="20"/>
          <w:szCs w:val="20"/>
        </w:rPr>
        <w:t xml:space="preserve">patients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over 65 years of age.</w:t>
      </w:r>
    </w:p>
    <w:p>
      <w:pPr>
        <w:pBdr/>
        <w:pStyle w:val="Normal"/>
        <w:outlineLvl w:val="0"/>
        <w:spacing/>
        <w:ind w:left="-625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outlineLvl w:val="0"/>
        <w:spacing/>
        <w:ind w:left="-625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Patients with kidney impairment</w:t>
      </w:r>
    </w:p>
    <w:p>
      <w:pPr>
        <w:pBdr/>
        <w:pStyle w:val="Normal"/>
        <w:outlineLvl w:val="0"/>
        <w:spacing/>
        <w:ind w:left="-6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This medicine can be used in patients with mild or moderate kidney impairment. In these patients, </w:t>
      </w:r>
      <w:r>
        <w:rPr>
          <w:rFonts w:ascii="Arial" w:eastAsia="Arial" w:hAnsi="Arial"/>
          <w:color w:val="000000"/>
          <w:sz w:val="20"/>
          <w:szCs w:val="20"/>
        </w:rPr>
        <w:t xml:space="preserve">a </w:t>
      </w:r>
      <w:r>
        <w:rPr>
          <w:rFonts w:ascii="Arial" w:eastAsia="Arial" w:hAnsi="Arial"/>
          <w:color w:val="000000"/>
          <w:sz w:val="20"/>
          <w:szCs w:val="20"/>
        </w:rPr>
        <w:t xml:space="preserve">starting dose of 20 mg is recommended, and the maximum daily dose is 40 mg. Your doctor will </w:t>
      </w:r>
      <w:r>
        <w:rPr>
          <w:rFonts w:ascii="Arial" w:eastAsia="Arial" w:hAnsi="Arial"/>
          <w:color w:val="000000"/>
          <w:sz w:val="20"/>
          <w:szCs w:val="20"/>
        </w:rPr>
        <w:t xml:space="preserve">adjust the dose.</w:t>
      </w:r>
    </w:p>
    <w:p>
      <w:pPr>
        <w:pBdr/>
        <w:pStyle w:val="Normal"/>
        <w:outlineLvl w:val="0"/>
        <w:spacing/>
        <w:ind w:left="-625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outlineLvl w:val="0"/>
        <w:spacing/>
        <w:ind w:left="-625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Patients with liver impairment</w:t>
      </w:r>
    </w:p>
    <w:p>
      <w:pPr>
        <w:pBdr/>
        <w:pStyle w:val="Normal"/>
        <w:outlineLvl w:val="0"/>
        <w:spacing/>
        <w:ind w:left="-6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This medicine can be used in patients with mild or moderate liver impairment and no dose </w:t>
      </w:r>
      <w:r>
        <w:rPr>
          <w:rFonts w:ascii="Arial" w:eastAsia="Arial" w:hAnsi="Arial"/>
          <w:color w:val="000000"/>
          <w:sz w:val="20"/>
          <w:szCs w:val="20"/>
        </w:rPr>
        <w:t xml:space="preserve">adjustment </w:t>
      </w:r>
      <w:r>
        <w:rPr>
          <w:rFonts w:ascii="Arial" w:eastAsia="Arial" w:hAnsi="Arial"/>
          <w:color w:val="000000"/>
          <w:sz w:val="20"/>
          <w:szCs w:val="20"/>
        </w:rPr>
        <w:t xml:space="preserve">is required.</w:t>
      </w:r>
    </w:p>
    <w:p>
      <w:pPr>
        <w:pBdr/>
        <w:pStyle w:val="Normal"/>
        <w:outlineLvl w:val="0"/>
        <w:spacing/>
        <w:ind w:left="-625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outlineLvl w:val="0"/>
        <w:spacing/>
        <w:ind w:left="-625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Tests and follow-up</w:t>
      </w:r>
    </w:p>
    <w:p>
      <w:pPr>
        <w:pBdr/>
        <w:pStyle w:val="Normal"/>
        <w:outlineLvl w:val="0"/>
        <w:spacing/>
        <w:ind w:left="-6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During treatment, your doctor may refer you for a blood test to check for </w:t>
      </w:r>
      <w:r>
        <w:rPr>
          <w:rFonts w:ascii="Arial" w:eastAsia="Arial" w:hAnsi="Arial"/>
          <w:color w:val="000000"/>
          <w:sz w:val="20"/>
          <w:szCs w:val="20"/>
        </w:rPr>
        <w:t xml:space="preserve">elevated </w:t>
      </w:r>
      <w:r>
        <w:rPr>
          <w:rFonts w:ascii="Arial" w:eastAsia="Arial" w:hAnsi="Arial"/>
          <w:color w:val="000000"/>
          <w:sz w:val="20"/>
          <w:szCs w:val="20"/>
        </w:rPr>
        <w:t xml:space="preserve">liver enzymes and </w:t>
      </w:r>
      <w:r>
        <w:rPr>
          <w:rFonts w:ascii="Arial" w:eastAsia="Arial" w:hAnsi="Arial"/>
          <w:color w:val="000000"/>
          <w:sz w:val="20"/>
          <w:szCs w:val="20"/>
        </w:rPr>
        <w:t xml:space="preserve">other blood problems.</w:t>
      </w:r>
    </w:p>
    <w:p>
      <w:pPr>
        <w:pBdr/>
        <w:pStyle w:val="Normal"/>
        <w:outlineLvl w:val="0"/>
        <w:spacing/>
        <w:ind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483"/>
        <w:rPr>
          <w:rFonts w:ascii="Arial" w:eastAsia="Arial" w:hAnsi="Arial" w:cs="Arial"/>
          <w:b/>
          <w:bCs/>
          <w:rtl/>
          <w:color w:val="000000"/>
          <w:sz w:val="20"/>
          <w:szCs w:val="20"/>
          <w:u w:val="single"/>
        </w:rPr>
      </w:pPr>
    </w:p>
    <w:p>
      <w:pPr>
        <w:pBdr/>
        <w:pStyle w:val="Normal"/>
        <w:spacing/>
        <w:ind w:left="-483" w:hanging="142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Drug interactions</w:t>
      </w:r>
    </w:p>
    <w:p>
      <w:pPr>
        <w:pBdr/>
        <w:pStyle w:val="Normal"/>
        <w:spacing/>
        <w:ind w:left="-483"/>
        <w:rPr>
          <w:rFonts w:ascii="Arial" w:eastAsia="Arial" w:hAnsi="Arial" w:cs="Arial"/>
          <w:b/>
          <w:bCs/>
          <w:rtl/>
          <w:color w:val="000000"/>
          <w:sz w:val="20"/>
          <w:szCs w:val="20"/>
          <w:u w:val="single"/>
        </w:rPr>
      </w:pPr>
    </w:p>
    <w:p>
      <w:pPr>
        <w:pBdr/>
        <w:pStyle w:val="Normal"/>
        <w:spacing/>
        <w:ind w:left="-625"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If you are taking or have recently taken other medicines, including non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-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prescription medicines and 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dietary supplements, tell your doctor or pharmacist</w:t>
      </w:r>
      <w:r>
        <w:rPr>
          <w:rFonts w:ascii="Arial" w:eastAsia="Arial" w:hAnsi="Arial"/>
          <w:color w:val="000000"/>
          <w:sz w:val="20"/>
          <w:szCs w:val="20"/>
        </w:rPr>
        <w:t xml:space="preserve">.</w:t>
      </w:r>
    </w:p>
    <w:p>
      <w:pPr>
        <w:pBdr/>
        <w:pStyle w:val="Normal"/>
        <w:spacing/>
        <w:ind w:left="-625" w:right="-709"/>
        <w:rPr>
          <w:rFonts w:ascii="Arial" w:eastAsia="Arial" w:hAnsi="Arial"/>
          <w:b/>
          <w:bCs/>
          <w:color w:val="000000"/>
          <w:sz w:val="20"/>
          <w:szCs w:val="20"/>
        </w:rPr>
      </w:pPr>
    </w:p>
    <w:p>
      <w:pPr>
        <w:pBdr/>
        <w:pStyle w:val="Normal"/>
        <w:spacing/>
        <w:ind w:left="-625" w:right="-709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Taking 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Paracetamol</w:t>
      </w:r>
      <w:r>
        <w:rPr>
          <w:rFonts w:ascii="Arial" w:eastAsia="Arial" w:hAnsi="Arial"/>
          <w:b/>
          <w:bCs/>
          <w:color w:val="000000"/>
          <w:sz w:val="20"/>
          <w:szCs w:val="20"/>
          <w:vertAlign w:val="superscript"/>
        </w:rPr>
        <w:t xml:space="preserve">®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 together with some medicines may cause serious side effects. Do not take 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Paracetamol</w:t>
      </w:r>
      <w:r>
        <w:rPr>
          <w:rFonts w:ascii="Arial" w:eastAsia="Arial" w:hAnsi="Arial"/>
          <w:b/>
          <w:bCs/>
          <w:color w:val="000000"/>
          <w:sz w:val="20"/>
          <w:szCs w:val="20"/>
          <w:vertAlign w:val="superscript"/>
        </w:rPr>
        <w:t xml:space="preserve">®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if:</w:t>
      </w:r>
    </w:p>
    <w:p>
      <w:pPr>
        <w:pBdr/>
        <w:pStyle w:val="Normal"/>
        <w:numPr>
          <w:ilvl w:val="0"/>
          <w:numId w:val="13"/>
        </w:numPr>
        <w:spacing/>
        <w:ind w:right="-709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You have taken ergotamine or medicines like ergotamine (including </w:t>
      </w:r>
      <w:r>
        <w:rPr>
          <w:rFonts w:ascii="Arial" w:eastAsia="Arial" w:hAnsi="Arial"/>
          <w:color w:val="000000"/>
          <w:sz w:val="20"/>
          <w:szCs w:val="20"/>
        </w:rPr>
        <w:t xml:space="preserve">methysergide</w:t>
      </w:r>
      <w:r>
        <w:rPr>
          <w:rFonts w:ascii="Arial" w:eastAsia="Arial" w:hAnsi="Arial"/>
          <w:color w:val="000000"/>
          <w:sz w:val="20"/>
          <w:szCs w:val="20"/>
        </w:rPr>
        <w:t xml:space="preserve">) within 24 hours </w:t>
      </w:r>
      <w:r>
        <w:rPr>
          <w:rFonts w:ascii="Arial" w:eastAsia="Arial" w:hAnsi="Arial"/>
          <w:color w:val="000000"/>
          <w:sz w:val="20"/>
          <w:szCs w:val="20"/>
        </w:rPr>
        <w:t xml:space="preserve">before or after taking </w:t>
      </w:r>
      <w:r>
        <w:rPr>
          <w:rFonts w:ascii="Arial" w:eastAsia="Arial" w:hAnsi="Arial"/>
          <w:color w:val="000000"/>
          <w:sz w:val="20"/>
          <w:szCs w:val="20"/>
        </w:rPr>
        <w:t xml:space="preserve">Paracetamol</w:t>
      </w:r>
      <w:r>
        <w:rPr>
          <w:rFonts w:ascii="Arial" w:eastAsia="Arial" w:hAnsi="Arial"/>
          <w:color w:val="000000"/>
          <w:sz w:val="20"/>
          <w:szCs w:val="20"/>
          <w:vertAlign w:val="superscript"/>
        </w:rPr>
        <w:t xml:space="preserve">®</w:t>
      </w:r>
      <w:r>
        <w:rPr/>
        <w:t xml:space="preserve">.</w:t>
      </w:r>
    </w:p>
    <w:p>
      <w:pPr>
        <w:pBdr/>
        <w:pStyle w:val="Normal"/>
        <w:numPr>
          <w:ilvl w:val="0"/>
          <w:numId w:val="2"/>
        </w:numPr>
        <w:spacing/>
        <w:ind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You are taking any other medicines that end in ‘triptan’ (for example, sumatriptan, rizatriptan, </w:t>
      </w:r>
      <w:r>
        <w:rPr>
          <w:rFonts w:ascii="Arial" w:eastAsia="Arial" w:hAnsi="Arial"/>
          <w:color w:val="000000"/>
          <w:sz w:val="20"/>
          <w:szCs w:val="20"/>
        </w:rPr>
        <w:t xml:space="preserve">naratriptan, zolmitriptan, </w:t>
      </w:r>
      <w:r>
        <w:rPr>
          <w:rFonts w:ascii="Arial" w:eastAsia="Arial" w:hAnsi="Arial"/>
          <w:color w:val="000000"/>
          <w:sz w:val="20"/>
          <w:szCs w:val="20"/>
        </w:rPr>
        <w:t xml:space="preserve">almotriptan</w:t>
      </w:r>
      <w:r>
        <w:rPr>
          <w:rFonts w:ascii="Arial" w:eastAsia="Arial" w:hAnsi="Arial"/>
          <w:color w:val="000000"/>
          <w:sz w:val="20"/>
          <w:szCs w:val="20"/>
        </w:rPr>
        <w:t xml:space="preserve"> and </w:t>
      </w:r>
      <w:r>
        <w:rPr>
          <w:rFonts w:ascii="Arial" w:eastAsia="Arial" w:hAnsi="Arial"/>
          <w:color w:val="000000"/>
          <w:sz w:val="20"/>
          <w:szCs w:val="20"/>
        </w:rPr>
        <w:t xml:space="preserve">frovatriptan</w:t>
      </w:r>
      <w:r>
        <w:rPr>
          <w:rFonts w:ascii="Arial" w:eastAsia="Arial" w:hAnsi="Arial"/>
          <w:color w:val="000000"/>
          <w:sz w:val="20"/>
          <w:szCs w:val="20"/>
        </w:rPr>
        <w:t xml:space="preserve">).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Some medicines can affect the way </w:t>
      </w:r>
      <w:r>
        <w:rPr>
          <w:rFonts w:ascii="Arial" w:eastAsia="Arial" w:hAnsi="Arial"/>
          <w:color w:val="000000"/>
          <w:sz w:val="20"/>
          <w:szCs w:val="20"/>
        </w:rPr>
        <w:t xml:space="preserve">Paracetamol</w:t>
      </w:r>
      <w:r>
        <w:rPr>
          <w:rFonts w:ascii="Arial" w:eastAsia="Arial" w:hAnsi="Arial"/>
          <w:color w:val="000000"/>
          <w:sz w:val="20"/>
          <w:szCs w:val="20"/>
          <w:vertAlign w:val="superscript"/>
        </w:rPr>
        <w:t xml:space="preserve">®</w:t>
      </w:r>
      <w:r>
        <w:rPr>
          <w:rFonts w:ascii="Arial" w:eastAsia="Arial" w:hAnsi="Arial"/>
          <w:color w:val="000000"/>
          <w:sz w:val="20"/>
          <w:szCs w:val="20"/>
        </w:rPr>
        <w:t xml:space="preserve"> works or </w:t>
      </w:r>
      <w:r>
        <w:rPr>
          <w:rFonts w:ascii="Arial" w:eastAsia="Arial" w:hAnsi="Arial"/>
          <w:color w:val="000000"/>
          <w:sz w:val="20"/>
          <w:szCs w:val="20"/>
        </w:rPr>
        <w:t xml:space="preserve">Paracetamol</w:t>
      </w:r>
      <w:r>
        <w:rPr>
          <w:rFonts w:ascii="Arial" w:eastAsia="Arial" w:hAnsi="Arial"/>
          <w:color w:val="000000"/>
          <w:sz w:val="20"/>
          <w:szCs w:val="20"/>
          <w:vertAlign w:val="superscript"/>
        </w:rPr>
        <w:t xml:space="preserve">®</w:t>
      </w:r>
      <w:r>
        <w:rPr>
          <w:rFonts w:ascii="Arial" w:eastAsia="Arial" w:hAnsi="Arial"/>
          <w:color w:val="000000"/>
          <w:sz w:val="20"/>
          <w:szCs w:val="20"/>
        </w:rPr>
        <w:t xml:space="preserve"> itself can reduce the effectiveness </w:t>
      </w:r>
      <w:r>
        <w:rPr>
          <w:rFonts w:ascii="Arial" w:eastAsia="Arial" w:hAnsi="Arial"/>
          <w:color w:val="000000"/>
          <w:sz w:val="20"/>
          <w:szCs w:val="20"/>
        </w:rPr>
        <w:t xml:space="preserve">of other medicines taken at the same time. These incl</w:t>
      </w:r>
      <w:r>
        <w:rPr>
          <w:rFonts w:ascii="Arial" w:eastAsia="Arial" w:hAnsi="Arial"/>
          <w:color w:val="000000"/>
          <w:sz w:val="20"/>
          <w:szCs w:val="20"/>
        </w:rPr>
        <w:t xml:space="preserve">ude:</w:t>
      </w:r>
    </w:p>
    <w:p>
      <w:pPr>
        <w:pBdr/>
        <w:pStyle w:val="Normal"/>
        <w:numPr>
          <w:ilvl w:val="0"/>
          <w:numId w:val="4"/>
        </w:numPr>
        <w:spacing/>
        <w:ind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Drugs used to treat fungal infections (e.g.</w:t>
      </w:r>
      <w:r>
        <w:rPr>
          <w:rFonts w:ascii="Arial" w:eastAsia="Arial" w:hAnsi="Arial"/>
          <w:color w:val="000000"/>
          <w:sz w:val="20"/>
          <w:szCs w:val="20"/>
        </w:rPr>
        <w:t xml:space="preserve">,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ketoconazole and itraconazole).</w:t>
      </w:r>
    </w:p>
    <w:p>
      <w:pPr>
        <w:pBdr/>
        <w:pStyle w:val="Normal"/>
        <w:numPr>
          <w:ilvl w:val="0"/>
          <w:numId w:val="4"/>
        </w:numPr>
        <w:spacing/>
        <w:ind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Drugs used to treat bacterial infections (e.g.</w:t>
      </w:r>
      <w:r>
        <w:rPr>
          <w:rFonts w:ascii="Arial" w:eastAsia="Arial" w:hAnsi="Arial"/>
          <w:color w:val="000000"/>
          <w:sz w:val="20"/>
          <w:szCs w:val="20"/>
        </w:rPr>
        <w:t xml:space="preserve">,</w:t>
      </w:r>
      <w:r>
        <w:rPr>
          <w:rFonts w:ascii="Arial" w:eastAsia="Arial" w:hAnsi="Arial"/>
          <w:color w:val="000000"/>
          <w:sz w:val="20"/>
          <w:szCs w:val="20"/>
        </w:rPr>
        <w:t xml:space="preserve"> erythromycin, clarithromycin and </w:t>
      </w:r>
      <w:r>
        <w:rPr>
          <w:rFonts w:ascii="Arial" w:eastAsia="Arial" w:hAnsi="Arial"/>
          <w:color w:val="000000"/>
          <w:sz w:val="20"/>
          <w:szCs w:val="20"/>
        </w:rPr>
        <w:t xml:space="preserve">josamycin</w:t>
      </w:r>
      <w:r>
        <w:rPr>
          <w:rFonts w:ascii="Arial" w:eastAsia="Arial" w:hAnsi="Arial"/>
          <w:color w:val="000000"/>
          <w:sz w:val="20"/>
          <w:szCs w:val="20"/>
        </w:rPr>
        <w:t xml:space="preserve">).</w:t>
      </w:r>
    </w:p>
    <w:p>
      <w:pPr>
        <w:pBdr/>
        <w:pStyle w:val="Normal"/>
        <w:numPr>
          <w:ilvl w:val="0"/>
          <w:numId w:val="4"/>
        </w:numPr>
        <w:spacing/>
        <w:ind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Drugs used to treat AIDS and HIV (e.g.</w:t>
      </w:r>
      <w:r>
        <w:rPr>
          <w:rFonts w:ascii="Arial" w:eastAsia="Arial" w:hAnsi="Arial"/>
          <w:color w:val="000000"/>
          <w:sz w:val="20"/>
          <w:szCs w:val="20"/>
        </w:rPr>
        <w:t xml:space="preserve">,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ritonavir, indinavir and nelfinavir).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625" w:right="-709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625" w:right="-28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The herbal preparation St. John’s wort (</w:t>
      </w:r>
      <w:r>
        <w:rPr>
          <w:rFonts w:ascii="Arial" w:eastAsia="Arial" w:hAnsi="Arial"/>
          <w:i/>
          <w:iCs/>
          <w:color w:val="000000"/>
          <w:sz w:val="20"/>
          <w:szCs w:val="20"/>
        </w:rPr>
        <w:t xml:space="preserve">Hypericum perforatum</w:t>
      </w:r>
      <w:r>
        <w:rPr>
          <w:rFonts w:ascii="Arial" w:eastAsia="Arial" w:hAnsi="Arial"/>
          <w:color w:val="000000"/>
          <w:sz w:val="20"/>
          <w:szCs w:val="20"/>
        </w:rPr>
        <w:t xml:space="preserve">) should not be taken at the same time as </w:t>
      </w:r>
      <w:r>
        <w:rPr>
          <w:rFonts w:ascii="Arial" w:eastAsia="Arial" w:hAnsi="Arial"/>
          <w:color w:val="000000"/>
          <w:sz w:val="20"/>
          <w:szCs w:val="20"/>
        </w:rPr>
        <w:t xml:space="preserve">Paracetamol</w:t>
      </w:r>
      <w:r>
        <w:rPr>
          <w:rFonts w:ascii="Arial" w:eastAsia="Arial" w:hAnsi="Arial"/>
          <w:color w:val="000000"/>
          <w:sz w:val="20"/>
          <w:szCs w:val="20"/>
          <w:vertAlign w:val="superscript"/>
        </w:rPr>
        <w:t xml:space="preserve">®</w:t>
      </w:r>
      <w:r>
        <w:rPr>
          <w:rFonts w:ascii="Arial" w:eastAsia="Arial" w:hAnsi="Arial"/>
          <w:color w:val="000000"/>
          <w:sz w:val="20"/>
          <w:szCs w:val="20"/>
        </w:rPr>
        <w:t xml:space="preserve">. If you already started taking St. John’s wort preparation, consult your doctor before you </w:t>
      </w:r>
      <w:r>
        <w:rPr>
          <w:rFonts w:ascii="Arial" w:eastAsia="Arial" w:hAnsi="Arial"/>
          <w:color w:val="000000"/>
          <w:sz w:val="20"/>
          <w:szCs w:val="20"/>
        </w:rPr>
        <w:t xml:space="preserve">stop taking it.</w:t>
      </w:r>
    </w:p>
    <w:p>
      <w:pPr>
        <w:pBdr/>
        <w:pStyle w:val="Normal"/>
        <w:spacing/>
        <w:ind w:left="-341" w:right="-284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625" w:right="-28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Tell your doctor before you start treatment with </w:t>
      </w:r>
      <w:r>
        <w:rPr>
          <w:rFonts w:ascii="Arial" w:eastAsia="Arial" w:hAnsi="Arial"/>
          <w:color w:val="000000"/>
          <w:sz w:val="20"/>
          <w:szCs w:val="20"/>
        </w:rPr>
        <w:t xml:space="preserve">Paracetamol</w:t>
      </w:r>
      <w:r>
        <w:rPr>
          <w:rFonts w:ascii="Arial" w:eastAsia="Arial" w:hAnsi="Arial"/>
          <w:color w:val="000000"/>
          <w:sz w:val="20"/>
          <w:szCs w:val="20"/>
          <w:vertAlign w:val="superscript"/>
        </w:rPr>
        <w:t xml:space="preserve">®</w:t>
      </w:r>
      <w:r>
        <w:rPr>
          <w:rFonts w:ascii="Arial" w:eastAsia="Arial" w:hAnsi="Arial"/>
          <w:color w:val="000000"/>
          <w:sz w:val="20"/>
          <w:szCs w:val="20"/>
        </w:rPr>
        <w:t xml:space="preserve"> if you are taking medicines in the SSRI* or </w:t>
      </w:r>
      <w:r>
        <w:rPr>
          <w:rFonts w:ascii="Arial" w:eastAsia="Arial" w:hAnsi="Arial"/>
          <w:color w:val="000000"/>
          <w:sz w:val="20"/>
          <w:szCs w:val="20"/>
        </w:rPr>
        <w:t xml:space="preserve">SNRI** family for depression and other mental </w:t>
      </w:r>
      <w:r>
        <w:rPr>
          <w:rFonts w:ascii="Arial" w:eastAsia="Arial" w:hAnsi="Arial"/>
          <w:color w:val="000000"/>
          <w:sz w:val="20"/>
          <w:szCs w:val="20"/>
        </w:rPr>
        <w:t xml:space="preserve">disorders. These medicines</w:t>
      </w:r>
      <w:r>
        <w:rPr>
          <w:rFonts w:ascii="Arial" w:eastAsia="Arial" w:hAnsi="Arial"/>
          <w:color w:val="000000"/>
          <w:sz w:val="20"/>
          <w:szCs w:val="20"/>
        </w:rPr>
        <w:t xml:space="preserve"> may</w:t>
      </w:r>
      <w:r>
        <w:rPr>
          <w:rFonts w:ascii="Arial" w:eastAsia="Arial" w:hAnsi="Arial"/>
          <w:color w:val="000000"/>
          <w:sz w:val="20"/>
          <w:szCs w:val="20"/>
        </w:rPr>
        <w:t xml:space="preserve"> increase the risk of </w:t>
      </w:r>
      <w:r>
        <w:rPr>
          <w:rFonts w:ascii="Arial" w:eastAsia="Arial" w:hAnsi="Arial"/>
          <w:color w:val="000000"/>
          <w:sz w:val="20"/>
          <w:szCs w:val="20"/>
        </w:rPr>
        <w:t xml:space="preserve">developing serotonin syndrome during combined use with certain migraine </w:t>
      </w:r>
      <w:r>
        <w:rPr>
          <w:rFonts w:ascii="Arial" w:eastAsia="Arial" w:hAnsi="Arial"/>
          <w:color w:val="000000"/>
          <w:sz w:val="20"/>
          <w:szCs w:val="20"/>
        </w:rPr>
        <w:t xml:space="preserve">medications. See Section 4, </w:t>
      </w:r>
      <w:r>
        <w:rPr>
          <w:rFonts w:ascii="Arial" w:eastAsia="Arial" w:hAnsi="Arial"/>
          <w:color w:val="000000"/>
          <w:sz w:val="20"/>
          <w:szCs w:val="20"/>
        </w:rPr>
        <w:t xml:space="preserve">Side effects for more information on the symptoms of serotonin </w:t>
      </w:r>
      <w:r>
        <w:rPr>
          <w:rFonts w:ascii="Arial" w:eastAsia="Arial" w:hAnsi="Arial"/>
          <w:color w:val="000000"/>
          <w:sz w:val="20"/>
          <w:szCs w:val="20"/>
        </w:rPr>
        <w:t xml:space="preserve">syndrome.</w:t>
      </w:r>
    </w:p>
    <w:p>
      <w:pPr>
        <w:pBdr/>
        <w:pStyle w:val="Normal"/>
        <w:spacing/>
        <w:ind w:left="-341" w:right="-284" w:hanging="28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SSRI</w:t>
      </w:r>
      <w:r>
        <w:rPr>
          <w:rFonts w:ascii="Arial" w:eastAsia="Arial" w:hAnsi="Arial"/>
          <w:color w:val="000000"/>
          <w:sz w:val="20"/>
          <w:szCs w:val="20"/>
        </w:rPr>
        <w:t xml:space="preserve">*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- Selective serotonin re-uptake inhibitors.</w:t>
      </w:r>
    </w:p>
    <w:p>
      <w:pPr>
        <w:pBdr/>
        <w:pStyle w:val="Normal"/>
        <w:spacing/>
        <w:ind w:left="-341" w:right="-284" w:hanging="28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SNRI</w:t>
      </w:r>
      <w:r>
        <w:rPr>
          <w:rFonts w:ascii="Arial" w:eastAsia="Arial" w:hAnsi="Arial"/>
          <w:color w:val="000000"/>
          <w:sz w:val="20"/>
          <w:szCs w:val="20"/>
        </w:rPr>
        <w:t xml:space="preserve">**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- Serotonin norepinephrine re-uptake inhibitors.</w:t>
      </w:r>
    </w:p>
    <w:p>
      <w:pPr>
        <w:pBdr/>
        <w:pStyle w:val="Normal"/>
        <w:spacing/>
        <w:ind w:left="-341" w:right="-284"/>
        <w:rPr>
          <w:rFonts w:ascii="Arial" w:eastAsia="Arial" w:hAnsi="Arial" w:cs="Arial"/>
          <w:color w:val="000000"/>
          <w:sz w:val="20"/>
          <w:szCs w:val="20"/>
        </w:rPr>
      </w:pPr>
    </w:p>
    <w:p>
      <w:pPr>
        <w:pBdr/>
        <w:pStyle w:val="Normal"/>
        <w:spacing/>
        <w:ind w:left="-625" w:right="-709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Using this medicine and food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color w:val="000000"/>
          <w:sz w:val="20"/>
          <w:szCs w:val="20"/>
        </w:rPr>
      </w:pPr>
      <w:bookmarkStart w:name="OLE_LINK11" w:id="3"/>
      <w:bookmarkStart w:name="OLE_LINK12" w:id="4"/>
      <w:bookmarkEnd w:id="3"/>
      <w:r>
        <w:rPr>
          <w:rFonts w:ascii="Arial" w:eastAsia="Arial" w:hAnsi="Arial"/>
          <w:color w:val="000000"/>
          <w:sz w:val="20"/>
          <w:szCs w:val="20"/>
        </w:rPr>
        <w:t xml:space="preserve">The medicine can be taken</w:t>
      </w:r>
      <w:bookmarkEnd w:id="4"/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before or after food. 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b/>
          <w:bCs/>
          <w:rtl/>
          <w:color w:val="000000"/>
          <w:sz w:val="20"/>
          <w:szCs w:val="20"/>
          <w:u w:val="single"/>
        </w:rPr>
      </w:pPr>
    </w:p>
    <w:p>
      <w:pPr>
        <w:pBdr/>
        <w:pStyle w:val="Normal"/>
        <w:spacing/>
        <w:ind w:left="-625" w:right="-709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Pregnancy and breastfeeding 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Do not use this medicine without consulting your doctor before starting treatment if you are </w:t>
      </w:r>
      <w:r>
        <w:rPr>
          <w:rFonts w:ascii="Arial" w:eastAsia="Arial" w:hAnsi="Arial"/>
          <w:color w:val="000000"/>
          <w:sz w:val="20"/>
          <w:szCs w:val="20"/>
        </w:rPr>
        <w:t xml:space="preserve">pregnant or </w:t>
      </w:r>
      <w:r>
        <w:rPr>
          <w:rFonts w:ascii="Arial" w:eastAsia="Arial" w:hAnsi="Arial"/>
          <w:color w:val="000000"/>
          <w:sz w:val="20"/>
          <w:szCs w:val="20"/>
        </w:rPr>
        <w:t xml:space="preserve">breastfeeding, think you might be pregnant or are planning to become pregnant.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It is recommended to avoid breastfeeding for 24 hours after taking this medicine.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b/>
          <w:bCs/>
          <w:rtl/>
          <w:color w:val="000000"/>
          <w:sz w:val="20"/>
          <w:szCs w:val="20"/>
          <w:u w:val="single"/>
        </w:rPr>
      </w:pPr>
    </w:p>
    <w:p>
      <w:pPr>
        <w:pBdr/>
        <w:pStyle w:val="Normal"/>
        <w:keepNext/>
        <w:spacing/>
        <w:ind w:left="-624" w:right="-709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Driving and using machines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Use of </w:t>
      </w:r>
      <w:r>
        <w:rPr>
          <w:rFonts w:ascii="Arial" w:eastAsia="Arial" w:hAnsi="Arial"/>
          <w:color w:val="000000"/>
          <w:sz w:val="20"/>
          <w:szCs w:val="20"/>
        </w:rPr>
        <w:t xml:space="preserve">Paracetamol</w:t>
      </w:r>
      <w:r>
        <w:rPr>
          <w:rFonts w:ascii="Arial" w:eastAsia="Arial" w:hAnsi="Arial"/>
          <w:color w:val="000000"/>
          <w:sz w:val="20"/>
          <w:szCs w:val="20"/>
          <w:vertAlign w:val="superscript"/>
        </w:rPr>
        <w:t xml:space="preserve">®</w:t>
      </w:r>
      <w:r>
        <w:rPr>
          <w:rFonts w:ascii="Arial" w:eastAsia="Arial" w:hAnsi="Arial"/>
          <w:color w:val="000000"/>
          <w:sz w:val="20"/>
          <w:szCs w:val="20"/>
        </w:rPr>
        <w:t xml:space="preserve"> or the migraine itself may make you sleepy. This medicine may also make you feel </w:t>
      </w:r>
      <w:r>
        <w:rPr>
          <w:rFonts w:ascii="Arial" w:eastAsia="Arial" w:hAnsi="Arial"/>
          <w:color w:val="000000"/>
          <w:sz w:val="20"/>
          <w:szCs w:val="20"/>
        </w:rPr>
        <w:t xml:space="preserve">dizzy. </w:t>
      </w:r>
      <w:r>
        <w:rPr>
          <w:rFonts w:ascii="Arial" w:eastAsia="Arial" w:hAnsi="Arial"/>
          <w:color w:val="000000"/>
          <w:sz w:val="20"/>
          <w:szCs w:val="20"/>
        </w:rPr>
        <w:t xml:space="preserve">Therefore,</w:t>
      </w:r>
      <w:r>
        <w:rPr>
          <w:rFonts w:ascii="Arial" w:eastAsia="Arial" w:hAnsi="Arial"/>
          <w:color w:val="000000"/>
          <w:sz w:val="20"/>
          <w:szCs w:val="20"/>
        </w:rPr>
        <w:t xml:space="preserve"> avoid driving and using machines during the migraine attack or after taking your medicine</w:t>
      </w:r>
      <w:r>
        <w:rPr>
          <w:rFonts w:ascii="Arial" w:eastAsia="Arial" w:hAnsi="Arial"/>
          <w:color w:val="000000"/>
          <w:sz w:val="20"/>
          <w:szCs w:val="20"/>
        </w:rPr>
        <w:t xml:space="preserve">.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625" w:right="-709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Important information about some of this medicine’s ingredients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Paracetamol</w:t>
      </w:r>
      <w:r>
        <w:rPr>
          <w:rFonts w:ascii="Arial" w:eastAsia="Arial" w:hAnsi="Arial"/>
          <w:b/>
          <w:bCs/>
          <w:color w:val="000000"/>
          <w:sz w:val="20"/>
          <w:szCs w:val="20"/>
          <w:vertAlign w:val="superscript"/>
        </w:rPr>
        <w:t xml:space="preserve">®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 contains 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l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actose, Sunset Yellow Aluminium Lake (E 110) and 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s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odium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Lactose is a type of sugar. If you have been told by your doctor that you have an intolerance </w:t>
      </w:r>
      <w:r>
        <w:rPr>
          <w:rFonts w:ascii="Arial" w:eastAsia="Arial" w:hAnsi="Arial"/>
          <w:color w:val="000000"/>
          <w:sz w:val="20"/>
          <w:szCs w:val="20"/>
        </w:rPr>
        <w:t xml:space="preserve">to some sugars, </w:t>
      </w:r>
      <w:r>
        <w:rPr>
          <w:rFonts w:ascii="Arial" w:eastAsia="Arial" w:hAnsi="Arial"/>
          <w:color w:val="000000"/>
          <w:sz w:val="20"/>
          <w:szCs w:val="20"/>
        </w:rPr>
        <w:t xml:space="preserve">contact your doctor before taking this medicine.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The dye Sunset Yellow may cause allergic reactions. 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Paracetamol</w:t>
      </w:r>
      <w:r>
        <w:rPr>
          <w:rFonts w:ascii="Arial" w:eastAsia="Arial" w:hAnsi="Arial"/>
          <w:sz w:val="20"/>
          <w:szCs w:val="20"/>
          <w:vertAlign w:val="superscript"/>
        </w:rPr>
        <w:t xml:space="preserve">®</w:t>
      </w:r>
      <w:r>
        <w:rPr>
          <w:rFonts w:ascii="Arial" w:eastAsia="Arial" w:hAnsi="Arial"/>
          <w:sz w:val="20"/>
          <w:szCs w:val="20"/>
        </w:rPr>
        <w:t xml:space="preserve"> tablets contain less than 1 mmol sodium (23 mg) per tablet, </w:t>
      </w:r>
      <w:r>
        <w:rPr>
          <w:rFonts w:ascii="Arial" w:eastAsia="Arial" w:hAnsi="Arial"/>
          <w:sz w:val="20"/>
          <w:szCs w:val="20"/>
        </w:rPr>
        <w:t xml:space="preserve">that is to say essentially</w:t>
      </w:r>
      <w:r>
        <w:rPr>
          <w:rFonts w:ascii="Arial" w:eastAsia="Arial" w:hAnsi="Arial"/>
          <w:sz w:val="20"/>
          <w:szCs w:val="20"/>
        </w:rPr>
        <w:t xml:space="preserve"> </w:t>
      </w:r>
      <w:r>
        <w:rPr>
          <w:rFonts w:ascii="Arial" w:eastAsia="Arial" w:hAnsi="Arial"/>
          <w:sz w:val="20"/>
          <w:szCs w:val="20"/>
        </w:rPr>
        <w:t xml:space="preserve">‘sodium-</w:t>
      </w:r>
      <w:r>
        <w:rPr>
          <w:rFonts w:ascii="Arial" w:eastAsia="Arial" w:hAnsi="Arial"/>
          <w:sz w:val="20"/>
          <w:szCs w:val="20"/>
        </w:rPr>
        <w:t xml:space="preserve">free’.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 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b/>
          <w:bCs/>
          <w:rtl/>
          <w:color w:val="000000"/>
          <w:sz w:val="20"/>
          <w:szCs w:val="20"/>
          <w:u w:val="single"/>
        </w:rPr>
      </w:pPr>
    </w:p>
    <w:p>
      <w:pPr>
        <w:pBdr/>
        <w:pStyle w:val="Normal"/>
        <w:numPr>
          <w:ilvl w:val="0"/>
          <w:numId w:val="10"/>
        </w:numPr>
        <w:spacing/>
        <w:ind w:right="-709" w:hanging="1410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>
        <w:rPr>
          <w:rFonts w:ascii="Arial" w:eastAsia="Arial" w:hAnsi="Arial"/>
          <w:b/>
          <w:bCs/>
          <w:color w:val="000000"/>
          <w:sz w:val="22"/>
          <w:szCs w:val="22"/>
        </w:rPr>
        <w:t xml:space="preserve">HOW TO USE THIS MEDICINE?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Always use this preparation according to your doctor's instructions.</w:t>
      </w:r>
    </w:p>
    <w:p>
      <w:pPr>
        <w:pBdr/>
        <w:pStyle w:val="Normal"/>
        <w:outlineLvl w:val="0"/>
        <w:spacing/>
        <w:ind w:left="-6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Check with the doctor or pharmacist if you are uncertain about the dosage and treatment regimen </w:t>
      </w:r>
      <w:r>
        <w:rPr>
          <w:rFonts w:ascii="Arial" w:eastAsia="Arial" w:hAnsi="Arial"/>
          <w:color w:val="000000"/>
          <w:sz w:val="20"/>
          <w:szCs w:val="20"/>
        </w:rPr>
        <w:t xml:space="preserve">of </w:t>
      </w:r>
      <w:r>
        <w:rPr>
          <w:rFonts w:ascii="Arial" w:eastAsia="Arial" w:hAnsi="Arial"/>
          <w:color w:val="000000"/>
          <w:sz w:val="20"/>
          <w:szCs w:val="20"/>
        </w:rPr>
        <w:t xml:space="preserve">the preparation.</w:t>
      </w:r>
    </w:p>
    <w:p>
      <w:pPr>
        <w:pBdr/>
        <w:pStyle w:val="Normal"/>
        <w:outlineLvl w:val="0"/>
        <w:spacing/>
        <w:ind w:left="-6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The dosage and treatment regimen will be determined by your doctor only.</w:t>
      </w:r>
    </w:p>
    <w:p>
      <w:pPr>
        <w:pBdr/>
        <w:pStyle w:val="Normal"/>
        <w:outlineLvl w:val="0"/>
        <w:spacing/>
        <w:ind w:left="-625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The medicine can be taken at any time after the start of the migraine headache, but it is best </w:t>
      </w:r>
      <w:r>
        <w:rPr>
          <w:rFonts w:ascii="Arial" w:eastAsia="Arial" w:hAnsi="Arial"/>
          <w:color w:val="000000"/>
          <w:sz w:val="20"/>
          <w:szCs w:val="20"/>
        </w:rPr>
        <w:t xml:space="preserve">to take </w:t>
      </w:r>
      <w:r>
        <w:rPr>
          <w:rFonts w:ascii="Arial" w:eastAsia="Arial" w:hAnsi="Arial"/>
          <w:color w:val="000000"/>
          <w:sz w:val="20"/>
          <w:szCs w:val="20"/>
        </w:rPr>
        <w:t xml:space="preserve">it as soon as possible. 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However, you should only take the medicine during the headache phase 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of the migraine attack. 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You should not take this medicine to prevent a migraine attack.</w:t>
      </w:r>
    </w:p>
    <w:p>
      <w:pPr>
        <w:pBdr/>
        <w:pStyle w:val="Normal"/>
        <w:numPr>
          <w:ilvl w:val="0"/>
          <w:numId w:val="15"/>
        </w:numPr>
        <w:outlineLvl w:val="0"/>
        <w:spacing/>
        <w:ind w:left="0" w:hanging="26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The usual starting dose is 40 mg.</w:t>
      </w:r>
    </w:p>
    <w:p>
      <w:pPr>
        <w:pBdr/>
        <w:pStyle w:val="Normal"/>
        <w:numPr>
          <w:ilvl w:val="0"/>
          <w:numId w:val="15"/>
        </w:numPr>
        <w:outlineLvl w:val="0"/>
        <w:spacing/>
        <w:ind w:left="0" w:hanging="26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If the first tablet does not relieve your migraine, do not take a second tablet for the same </w:t>
      </w:r>
      <w:r>
        <w:rPr>
          <w:rFonts w:ascii="Arial" w:eastAsia="Arial" w:hAnsi="Arial"/>
          <w:color w:val="000000"/>
          <w:sz w:val="20"/>
          <w:szCs w:val="20"/>
        </w:rPr>
        <w:t xml:space="preserve">migraine attack.</w:t>
      </w:r>
    </w:p>
    <w:p>
      <w:pPr>
        <w:pBdr/>
        <w:pStyle w:val="Normal"/>
        <w:numPr>
          <w:ilvl w:val="0"/>
          <w:numId w:val="15"/>
        </w:numPr>
        <w:outlineLvl w:val="0"/>
        <w:spacing/>
        <w:ind w:left="0" w:hanging="26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If after a first tablet your migraine is relieved and then comes back, you may take a second </w:t>
      </w:r>
      <w:r>
        <w:rPr>
          <w:rFonts w:ascii="Arial" w:eastAsia="Arial" w:hAnsi="Arial"/>
          <w:color w:val="000000"/>
          <w:sz w:val="20"/>
          <w:szCs w:val="20"/>
        </w:rPr>
        <w:t xml:space="preserve">tablet. However, you must wait at least 2 hours before taking the second tablet.</w:t>
      </w:r>
    </w:p>
    <w:p>
      <w:pPr>
        <w:pBdr/>
        <w:pStyle w:val="Normal"/>
        <w:numPr>
          <w:ilvl w:val="0"/>
          <w:numId w:val="15"/>
        </w:numPr>
        <w:outlineLvl w:val="0"/>
        <w:spacing/>
        <w:ind w:left="0" w:hanging="26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You should not take a dose that is higher than 160 mg within 24 hours.</w:t>
      </w:r>
    </w:p>
    <w:p>
      <w:pPr>
        <w:pBdr/>
        <w:pStyle w:val="Normal"/>
        <w:numPr>
          <w:ilvl w:val="0"/>
          <w:numId w:val="15"/>
        </w:numPr>
        <w:outlineLvl w:val="0"/>
        <w:spacing/>
        <w:ind w:left="0" w:hanging="26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If one 40 mg tablet does not relieve your migraine, consult your doctor, who may decide to </w:t>
      </w:r>
      <w:r>
        <w:rPr>
          <w:rFonts w:ascii="Arial" w:eastAsia="Arial" w:hAnsi="Arial"/>
          <w:color w:val="000000"/>
          <w:sz w:val="20"/>
          <w:szCs w:val="20"/>
        </w:rPr>
        <w:t xml:space="preserve">increase the dose for future attacks.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b/>
          <w:bCs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625" w:right="-709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Do not exceed the recommended dose.</w:t>
      </w:r>
    </w:p>
    <w:p>
      <w:pPr>
        <w:pBdr/>
        <w:pStyle w:val="Normal"/>
        <w:outlineLvl w:val="0"/>
        <w:spacing/>
        <w:ind w:left="-6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Swallow the medicine whole with water.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Do not crush/split/chew the tablet, as it is coated.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If you have taken an overdose, or if a child has accidentally swallowed some medicine, immediately </w:t>
      </w:r>
      <w:r>
        <w:rPr>
          <w:rFonts w:ascii="Arial" w:eastAsia="Arial" w:hAnsi="Arial"/>
          <w:color w:val="000000"/>
          <w:sz w:val="20"/>
          <w:szCs w:val="20"/>
        </w:rPr>
        <w:t xml:space="preserve">see a </w:t>
      </w:r>
      <w:r>
        <w:rPr>
          <w:rFonts w:ascii="Arial" w:eastAsia="Arial" w:hAnsi="Arial"/>
          <w:color w:val="000000"/>
          <w:sz w:val="20"/>
          <w:szCs w:val="20"/>
        </w:rPr>
        <w:t xml:space="preserve">doctor or go to a hospital emergency room and bring the medicine package with you.</w:t>
      </w:r>
    </w:p>
    <w:p>
      <w:pPr>
        <w:pBdr/>
        <w:pStyle w:val="Normal"/>
        <w:outlineLvl w:val="0"/>
        <w:spacing/>
        <w:ind w:left="-625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624" w:right="-709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Do not take medicines in the dark! Check the label and dose </w:t>
      </w:r>
      <w:r>
        <w:rPr>
          <w:rFonts w:ascii="Arial" w:eastAsia="Arial" w:hAnsi="Arial"/>
          <w:b/>
          <w:bCs/>
          <w:color w:val="000000"/>
          <w:sz w:val="20"/>
          <w:szCs w:val="20"/>
          <w:u w:val="single"/>
        </w:rPr>
        <w:t xml:space="preserve">each time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you take medicine. Wear 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glasses if you need them.</w:t>
      </w:r>
    </w:p>
    <w:p>
      <w:pPr>
        <w:pBdr/>
        <w:pStyle w:val="Normal"/>
        <w:spacing/>
        <w:ind w:left="-624" w:right="-709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If you have any further questions about using this medicine, consult your doctor or pharma</w:t>
      </w: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cist.</w:t>
      </w:r>
    </w:p>
    <w:p>
      <w:pPr>
        <w:pBdr/>
        <w:pStyle w:val="Normal"/>
        <w:spacing/>
        <w:ind w:left="-624" w:right="-709"/>
        <w:rPr>
          <w:rFonts w:ascii="Arial" w:eastAsia="Arial" w:hAnsi="Arial" w:cs="Arial"/>
          <w:b/>
          <w:bCs/>
          <w:rtl/>
          <w:color w:val="000000"/>
          <w:sz w:val="20"/>
          <w:szCs w:val="20"/>
        </w:rPr>
      </w:pPr>
    </w:p>
    <w:p>
      <w:pPr>
        <w:pBdr/>
        <w:pStyle w:val="Normal"/>
        <w:numPr>
          <w:ilvl w:val="0"/>
          <w:numId w:val="10"/>
        </w:numPr>
        <w:spacing/>
        <w:ind w:left="368" w:right="-709" w:hanging="993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>
        <w:rPr>
          <w:rFonts w:ascii="Arial" w:eastAsia="Arial" w:hAnsi="Arial"/>
          <w:b/>
          <w:bCs/>
          <w:color w:val="000000"/>
          <w:sz w:val="22"/>
          <w:szCs w:val="22"/>
        </w:rPr>
        <w:t xml:space="preserve">SIDE EFFECTS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As with any medicine, use of </w:t>
      </w:r>
      <w:r>
        <w:rPr>
          <w:rFonts w:ascii="Arial" w:eastAsia="Arial" w:hAnsi="Arial"/>
          <w:color w:val="000000"/>
          <w:sz w:val="20"/>
          <w:szCs w:val="20"/>
        </w:rPr>
        <w:t xml:space="preserve">Paracetamol</w:t>
      </w:r>
      <w:r>
        <w:rPr>
          <w:rFonts w:ascii="Arial" w:eastAsia="Arial" w:hAnsi="Arial"/>
          <w:color w:val="000000"/>
          <w:sz w:val="20"/>
          <w:szCs w:val="20"/>
          <w:vertAlign w:val="superscript"/>
        </w:rPr>
        <w:t xml:space="preserve">®</w:t>
      </w:r>
      <w:r>
        <w:rPr>
          <w:rFonts w:ascii="Arial" w:eastAsia="Arial" w:hAnsi="Arial"/>
          <w:color w:val="000000"/>
          <w:sz w:val="20"/>
          <w:szCs w:val="20"/>
        </w:rPr>
        <w:t xml:space="preserve"> may cause side effects in some users. Do not be alarmed by this </w:t>
      </w:r>
      <w:r>
        <w:rPr>
          <w:rFonts w:ascii="Arial" w:eastAsia="Arial" w:hAnsi="Arial"/>
          <w:color w:val="000000"/>
          <w:sz w:val="20"/>
          <w:szCs w:val="20"/>
        </w:rPr>
        <w:t xml:space="preserve">list of side effects. You </w:t>
      </w:r>
      <w:r>
        <w:rPr>
          <w:rFonts w:ascii="Arial" w:eastAsia="Arial" w:hAnsi="Arial"/>
          <w:color w:val="000000"/>
          <w:sz w:val="20"/>
          <w:szCs w:val="20"/>
        </w:rPr>
        <w:t xml:space="preserve">may not experience any of them.</w:t>
      </w:r>
    </w:p>
    <w:p>
      <w:pPr>
        <w:pBdr/>
        <w:pStyle w:val="Normal"/>
        <w:spacing/>
        <w:ind w:left="-625"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Contact your doctor immediately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if you experience any of the following symptoms after taking this </w:t>
      </w:r>
      <w:r>
        <w:rPr>
          <w:rFonts w:ascii="Arial" w:eastAsia="Arial" w:hAnsi="Arial"/>
          <w:color w:val="000000"/>
          <w:sz w:val="20"/>
          <w:szCs w:val="20"/>
        </w:rPr>
        <w:t xml:space="preserve">medicine:</w:t>
      </w:r>
    </w:p>
    <w:p>
      <w:pPr>
        <w:pBdr/>
        <w:pStyle w:val="Normal"/>
        <w:numPr>
          <w:ilvl w:val="0"/>
          <w:numId w:val="18"/>
        </w:numPr>
        <w:spacing/>
        <w:ind w:left="0" w:right="-709" w:hanging="26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Sudden wheeziness, difficulty in breathing, swelling of eyelids, face or lips, rash or itching </w:t>
      </w:r>
      <w:r>
        <w:rPr>
          <w:rFonts w:ascii="Arial" w:eastAsia="Arial" w:hAnsi="Arial"/>
          <w:color w:val="000000"/>
          <w:sz w:val="20"/>
          <w:szCs w:val="20"/>
        </w:rPr>
        <w:t xml:space="preserve">(especially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affecting the whole body) as this may be a sign of a hypersensitivity reaction. </w:t>
      </w:r>
    </w:p>
    <w:p>
      <w:pPr>
        <w:pBdr/>
        <w:pStyle w:val="Normal"/>
        <w:numPr>
          <w:ilvl w:val="0"/>
          <w:numId w:val="18"/>
        </w:numPr>
        <w:spacing/>
        <w:ind w:left="0" w:right="-709" w:hanging="26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Chest pain and tightness, which may be intense and involve the throat. These may be symptoms </w:t>
      </w:r>
      <w:r>
        <w:rPr>
          <w:rFonts w:ascii="Arial" w:eastAsia="Arial" w:hAnsi="Arial"/>
          <w:color w:val="000000"/>
          <w:sz w:val="20"/>
          <w:szCs w:val="20"/>
        </w:rPr>
        <w:t xml:space="preserve">of </w:t>
      </w:r>
      <w:r>
        <w:rPr>
          <w:rFonts w:ascii="Arial" w:eastAsia="Arial" w:hAnsi="Arial"/>
          <w:color w:val="000000"/>
          <w:sz w:val="20"/>
          <w:szCs w:val="20"/>
        </w:rPr>
        <w:t xml:space="preserve">problems of the blood circulation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of the heart (ischaemic heart disease).</w:t>
      </w:r>
    </w:p>
    <w:p>
      <w:pPr>
        <w:pBdr/>
        <w:pStyle w:val="Normal"/>
        <w:numPr>
          <w:ilvl w:val="0"/>
          <w:numId w:val="18"/>
        </w:numPr>
        <w:spacing/>
        <w:ind w:left="0" w:right="-709" w:hanging="26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Signs and symptoms of serotonin syndrome which may include restlessness, hallucinations, loss </w:t>
      </w:r>
      <w:r>
        <w:rPr>
          <w:rFonts w:ascii="Arial" w:eastAsia="Arial" w:hAnsi="Arial"/>
          <w:color w:val="000000"/>
          <w:sz w:val="20"/>
          <w:szCs w:val="20"/>
        </w:rPr>
        <w:t xml:space="preserve">of </w:t>
      </w:r>
      <w:r>
        <w:rPr>
          <w:rFonts w:ascii="Arial" w:eastAsia="Arial" w:hAnsi="Arial"/>
          <w:color w:val="000000"/>
          <w:sz w:val="20"/>
          <w:szCs w:val="20"/>
        </w:rPr>
        <w:t xml:space="preserve">co-ordination, fast heartbeat,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increase body temperature, fast changes in blood pressure and </w:t>
      </w:r>
      <w:r>
        <w:rPr>
          <w:rFonts w:ascii="Arial" w:eastAsia="Arial" w:hAnsi="Arial"/>
          <w:color w:val="000000"/>
          <w:sz w:val="20"/>
          <w:szCs w:val="20"/>
        </w:rPr>
        <w:t xml:space="preserve">overactive reflexes.</w:t>
      </w:r>
    </w:p>
    <w:p>
      <w:pPr>
        <w:pBdr/>
        <w:pStyle w:val="Normal"/>
        <w:spacing/>
        <w:ind w:left="95" w:right="-709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625" w:right="-709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624" w:right="-709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Additional side effects</w:t>
      </w:r>
    </w:p>
    <w:p>
      <w:pPr>
        <w:pBdr/>
        <w:pStyle w:val="Normal"/>
        <w:spacing/>
        <w:ind w:left="-624"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Common side effects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(may affect up to 1 in 10 people):</w:t>
      </w:r>
    </w:p>
    <w:p>
      <w:pPr>
        <w:pBdr/>
        <w:pStyle w:val="Normal"/>
        <w:spacing/>
        <w:ind w:left="-624"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Chest pain or tightness or pressure</w:t>
      </w:r>
      <w:r>
        <w:rPr>
          <w:rFonts w:ascii="Arial" w:eastAsia="Arial" w:hAnsi="Arial"/>
          <w:color w:val="000000"/>
          <w:sz w:val="20"/>
          <w:szCs w:val="20"/>
        </w:rPr>
        <w:t xml:space="preserve">, heart palpitations, increased heart rate, dizziness, sensation of spinning </w:t>
      </w:r>
      <w:r>
        <w:rPr>
          <w:rFonts w:ascii="Arial" w:eastAsia="Arial" w:hAnsi="Arial"/>
          <w:color w:val="000000"/>
          <w:sz w:val="20"/>
          <w:szCs w:val="20"/>
        </w:rPr>
        <w:t xml:space="preserve">or whirling (vertigo), </w:t>
      </w:r>
      <w:r>
        <w:rPr>
          <w:rFonts w:ascii="Arial" w:eastAsia="Arial" w:hAnsi="Arial"/>
          <w:color w:val="000000"/>
          <w:sz w:val="20"/>
          <w:szCs w:val="20"/>
        </w:rPr>
        <w:t xml:space="preserve">headache, feeling sleepy, reduced sense of touch or pain, sore throat, throat tightness, </w:t>
      </w:r>
      <w:r>
        <w:rPr>
          <w:rFonts w:ascii="Arial" w:eastAsia="Arial" w:hAnsi="Arial"/>
          <w:color w:val="000000"/>
          <w:sz w:val="20"/>
          <w:szCs w:val="20"/>
        </w:rPr>
        <w:t xml:space="preserve">dry </w:t>
      </w:r>
      <w:r>
        <w:rPr>
          <w:rFonts w:ascii="Arial" w:eastAsia="Arial" w:hAnsi="Arial"/>
          <w:color w:val="000000"/>
          <w:sz w:val="20"/>
          <w:szCs w:val="20"/>
        </w:rPr>
        <w:t xml:space="preserve">mouth, stomach pain, </w:t>
      </w:r>
      <w:r>
        <w:rPr>
          <w:rFonts w:ascii="Arial" w:eastAsia="Arial" w:hAnsi="Arial"/>
          <w:color w:val="000000"/>
          <w:sz w:val="20"/>
          <w:szCs w:val="20"/>
        </w:rPr>
        <w:t xml:space="preserve">i</w:t>
      </w:r>
      <w:r>
        <w:rPr>
          <w:rFonts w:ascii="Arial" w:eastAsia="Arial" w:hAnsi="Arial"/>
          <w:color w:val="000000"/>
          <w:sz w:val="20"/>
          <w:szCs w:val="20"/>
        </w:rPr>
        <w:t xml:space="preserve">ndigestion</w:t>
      </w:r>
      <w:r>
        <w:rPr/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(</w:t>
      </w:r>
      <w:r>
        <w:rPr>
          <w:rFonts w:ascii="Arial" w:eastAsia="Arial" w:hAnsi="Arial"/>
          <w:color w:val="000000"/>
          <w:sz w:val="20"/>
          <w:szCs w:val="20"/>
        </w:rPr>
        <w:t xml:space="preserve">upset stomach</w:t>
      </w:r>
      <w:r>
        <w:rPr>
          <w:rFonts w:ascii="Arial" w:eastAsia="Arial" w:hAnsi="Arial"/>
          <w:color w:val="000000"/>
          <w:sz w:val="20"/>
          <w:szCs w:val="20"/>
        </w:rPr>
        <w:t xml:space="preserve">)</w:t>
      </w:r>
      <w:r>
        <w:rPr>
          <w:rFonts w:ascii="Arial" w:eastAsia="Arial" w:hAnsi="Arial"/>
          <w:color w:val="000000"/>
          <w:sz w:val="20"/>
          <w:szCs w:val="20"/>
        </w:rPr>
        <w:t xml:space="preserve">, nausea (sensation of unease and discomfort in </w:t>
      </w:r>
      <w:r>
        <w:rPr>
          <w:rFonts w:ascii="Arial" w:eastAsia="Arial" w:hAnsi="Arial"/>
          <w:color w:val="000000"/>
          <w:sz w:val="20"/>
          <w:szCs w:val="20"/>
        </w:rPr>
        <w:t xml:space="preserve">stomach with an urge to vomit), stiffness (increased </w:t>
      </w:r>
      <w:r>
        <w:rPr>
          <w:rFonts w:ascii="Arial" w:eastAsia="Arial" w:hAnsi="Arial"/>
          <w:color w:val="000000"/>
          <w:sz w:val="20"/>
          <w:szCs w:val="20"/>
        </w:rPr>
        <w:t xml:space="preserve">muscle tone), muscle weakness, back pain, muscle </w:t>
      </w:r>
      <w:r>
        <w:rPr>
          <w:rFonts w:ascii="Arial" w:eastAsia="Arial" w:hAnsi="Arial"/>
          <w:color w:val="000000"/>
          <w:sz w:val="20"/>
          <w:szCs w:val="20"/>
        </w:rPr>
        <w:t xml:space="preserve">pain, generally feeling weak, feeling hot, </w:t>
      </w:r>
      <w:r>
        <w:rPr>
          <w:rFonts w:ascii="Arial" w:eastAsia="Arial" w:hAnsi="Arial"/>
          <w:color w:val="000000"/>
          <w:sz w:val="20"/>
          <w:szCs w:val="20"/>
        </w:rPr>
        <w:t xml:space="preserve">chills, runny nose, sweating, tingling or abnormal sensation, </w:t>
      </w:r>
      <w:r>
        <w:rPr>
          <w:rFonts w:ascii="Arial" w:eastAsia="Arial" w:hAnsi="Arial"/>
          <w:color w:val="000000"/>
          <w:sz w:val="20"/>
          <w:szCs w:val="20"/>
        </w:rPr>
        <w:t xml:space="preserve">flushing, pain.</w:t>
      </w:r>
    </w:p>
    <w:p>
      <w:pPr>
        <w:pBdr/>
        <w:pStyle w:val="Normal"/>
        <w:spacing/>
        <w:ind w:left="-624" w:right="-709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624" w:right="-709"/>
        <w:rPr>
          <w:rFonts w:ascii="Arial" w:eastAsia="Arial" w:hAnsi="Arial" w:cs="Arial"/>
          <w:b/>
          <w:bCs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624"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Uncommon side effects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(may affect up to 1 in 100 people):</w:t>
      </w:r>
    </w:p>
    <w:p>
      <w:pPr>
        <w:pBdr/>
        <w:pStyle w:val="Normal"/>
        <w:spacing/>
        <w:ind w:left="-624"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Difficulty breathing, yawning, swelling of the face or hands and feet, inflammation or infection </w:t>
      </w:r>
      <w:r>
        <w:rPr>
          <w:rFonts w:ascii="Arial" w:eastAsia="Arial" w:hAnsi="Arial"/>
          <w:color w:val="000000"/>
          <w:sz w:val="20"/>
          <w:szCs w:val="20"/>
        </w:rPr>
        <w:t xml:space="preserve">of the tongue, </w:t>
      </w:r>
      <w:r>
        <w:rPr>
          <w:rFonts w:ascii="Arial" w:eastAsia="Arial" w:hAnsi="Arial"/>
          <w:color w:val="000000"/>
          <w:sz w:val="20"/>
          <w:szCs w:val="20"/>
        </w:rPr>
        <w:t xml:space="preserve">skin rash, itching, increased sense of touch or pain, loss of co-ordination, </w:t>
      </w:r>
      <w:r>
        <w:rPr>
          <w:rFonts w:ascii="Arial" w:eastAsia="Arial" w:hAnsi="Arial"/>
          <w:color w:val="000000"/>
          <w:sz w:val="20"/>
          <w:szCs w:val="20"/>
        </w:rPr>
        <w:t xml:space="preserve">slow or reduced movement, tremor, </w:t>
      </w:r>
      <w:r>
        <w:rPr>
          <w:rFonts w:ascii="Arial" w:eastAsia="Arial" w:hAnsi="Arial"/>
          <w:color w:val="000000"/>
          <w:sz w:val="20"/>
          <w:szCs w:val="20"/>
        </w:rPr>
        <w:t xml:space="preserve">slurred speech, not feeling </w:t>
      </w:r>
      <w:r>
        <w:rPr>
          <w:rFonts w:ascii="Arial" w:eastAsia="Arial" w:hAnsi="Arial"/>
          <w:color w:val="000000"/>
          <w:sz w:val="20"/>
          <w:szCs w:val="20"/>
        </w:rPr>
        <w:t xml:space="preserve">one self</w:t>
      </w:r>
      <w:r>
        <w:rPr>
          <w:rFonts w:ascii="Arial" w:eastAsia="Arial" w:hAnsi="Arial"/>
          <w:color w:val="000000"/>
          <w:sz w:val="20"/>
          <w:szCs w:val="20"/>
        </w:rPr>
        <w:t xml:space="preserve"> (depersonalisation), depression, thinking strangely, feeling agitated, </w:t>
      </w:r>
      <w:r>
        <w:rPr>
          <w:rFonts w:ascii="Arial" w:eastAsia="Arial" w:hAnsi="Arial"/>
          <w:color w:val="000000"/>
          <w:sz w:val="20"/>
          <w:szCs w:val="20"/>
        </w:rPr>
        <w:t xml:space="preserve">feeling confused, mood </w:t>
      </w:r>
      <w:r>
        <w:rPr>
          <w:rFonts w:ascii="Arial" w:eastAsia="Arial" w:hAnsi="Arial"/>
          <w:color w:val="000000"/>
          <w:sz w:val="20"/>
          <w:szCs w:val="20"/>
        </w:rPr>
        <w:t xml:space="preserve">swings (euphoria), periods of unresponsiveness (stupor), general feeling of </w:t>
      </w:r>
      <w:r>
        <w:rPr>
          <w:rFonts w:ascii="Arial" w:eastAsia="Arial" w:hAnsi="Arial"/>
          <w:color w:val="000000"/>
          <w:sz w:val="20"/>
          <w:szCs w:val="20"/>
        </w:rPr>
        <w:t xml:space="preserve">discomfort, malaise, </w:t>
      </w:r>
      <w:r>
        <w:rPr>
          <w:rFonts w:ascii="Arial" w:eastAsia="Arial" w:hAnsi="Arial"/>
          <w:color w:val="000000"/>
          <w:sz w:val="20"/>
          <w:szCs w:val="20"/>
        </w:rPr>
        <w:t xml:space="preserve">sleeplessness, loss of appetite and weight loss (anorexia), taste disturbance, thirst, </w:t>
      </w:r>
      <w:r>
        <w:rPr>
          <w:rFonts w:ascii="Arial" w:eastAsia="Arial" w:hAnsi="Arial"/>
          <w:color w:val="000000"/>
          <w:sz w:val="20"/>
          <w:szCs w:val="20"/>
        </w:rPr>
        <w:t xml:space="preserve">degeneration </w:t>
      </w:r>
      <w:r>
        <w:rPr>
          <w:rFonts w:ascii="Arial" w:eastAsia="Arial" w:hAnsi="Arial"/>
          <w:color w:val="000000"/>
          <w:sz w:val="20"/>
          <w:szCs w:val="20"/>
        </w:rPr>
        <w:t xml:space="preserve">of the joints (arthrosis), bone pain, joint pain, increased need to urinate, problems with </w:t>
      </w:r>
      <w:r>
        <w:rPr>
          <w:rFonts w:ascii="Arial" w:eastAsia="Arial" w:hAnsi="Arial"/>
          <w:color w:val="000000"/>
          <w:sz w:val="20"/>
          <w:szCs w:val="20"/>
        </w:rPr>
        <w:t xml:space="preserve">urinating, passing excessive quantity of urine, diarrhoea, abnormal vision, eye pain, </w:t>
      </w:r>
      <w:r>
        <w:rPr>
          <w:rFonts w:ascii="Arial" w:eastAsia="Arial" w:hAnsi="Arial"/>
          <w:color w:val="000000"/>
          <w:sz w:val="20"/>
          <w:szCs w:val="20"/>
        </w:rPr>
        <w:t xml:space="preserve">i</w:t>
      </w:r>
      <w:r>
        <w:rPr>
          <w:rFonts w:ascii="Arial" w:eastAsia="Arial" w:hAnsi="Arial"/>
          <w:color w:val="000000"/>
          <w:sz w:val="20"/>
          <w:szCs w:val="20"/>
        </w:rPr>
        <w:t xml:space="preserve">ntolerance to light, dry </w:t>
      </w:r>
      <w:r>
        <w:rPr>
          <w:rFonts w:ascii="Arial" w:eastAsia="Arial" w:hAnsi="Arial"/>
          <w:color w:val="000000"/>
          <w:sz w:val="20"/>
          <w:szCs w:val="20"/>
        </w:rPr>
        <w:t xml:space="preserve">or watery eyes, ear pain, ringing in the ears (tinnitus), poor circulation </w:t>
      </w:r>
      <w:r>
        <w:rPr>
          <w:rFonts w:ascii="Arial" w:eastAsia="Arial" w:hAnsi="Arial"/>
          <w:color w:val="000000"/>
          <w:sz w:val="20"/>
          <w:szCs w:val="20"/>
        </w:rPr>
        <w:t xml:space="preserve">(peripheral vascular disorder).</w:t>
      </w:r>
    </w:p>
    <w:p>
      <w:pPr>
        <w:pBdr/>
        <w:pStyle w:val="Normal"/>
        <w:spacing/>
        <w:ind w:left="-624" w:right="-709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624"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Rare side effects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(may affect up to 1 in 1,000 people):</w:t>
      </w:r>
    </w:p>
    <w:p>
      <w:pPr>
        <w:pBdr/>
        <w:pStyle w:val="Normal"/>
        <w:spacing/>
        <w:ind w:left="-624"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Shock, asthma, hives (urticaria), skin disorder, swollen tongue, throat or chest infection, </w:t>
      </w:r>
      <w:r>
        <w:rPr>
          <w:rFonts w:ascii="Arial" w:eastAsia="Arial" w:hAnsi="Arial"/>
          <w:color w:val="000000"/>
          <w:sz w:val="20"/>
          <w:szCs w:val="20"/>
        </w:rPr>
        <w:t xml:space="preserve">swollen lymph </w:t>
      </w:r>
      <w:r>
        <w:rPr>
          <w:rFonts w:ascii="Arial" w:eastAsia="Arial" w:hAnsi="Arial"/>
          <w:color w:val="000000"/>
          <w:sz w:val="20"/>
          <w:szCs w:val="20"/>
        </w:rPr>
        <w:t xml:space="preserve">glands, slow heart rate, emotionally fragile (mood swings), degeneration of joints </w:t>
      </w:r>
      <w:r>
        <w:rPr>
          <w:rFonts w:ascii="Arial" w:eastAsia="Arial" w:hAnsi="Arial"/>
          <w:color w:val="000000"/>
          <w:sz w:val="20"/>
          <w:szCs w:val="20"/>
        </w:rPr>
        <w:t xml:space="preserve">(arthritis), muscle disorder, </w:t>
      </w:r>
      <w:r>
        <w:rPr>
          <w:rFonts w:ascii="Arial" w:eastAsia="Arial" w:hAnsi="Arial"/>
          <w:color w:val="000000"/>
          <w:sz w:val="20"/>
          <w:szCs w:val="20"/>
        </w:rPr>
        <w:t xml:space="preserve">twitching, constipation, inflamed gullet, belching, breast pain, </w:t>
      </w:r>
      <w:r>
        <w:rPr>
          <w:rFonts w:ascii="Arial" w:eastAsia="Arial" w:hAnsi="Arial"/>
          <w:color w:val="000000"/>
          <w:sz w:val="20"/>
          <w:szCs w:val="20"/>
        </w:rPr>
        <w:t xml:space="preserve">heavy or prolonged menstrual periods, eye </w:t>
      </w:r>
      <w:r>
        <w:rPr>
          <w:rFonts w:ascii="Arial" w:eastAsia="Arial" w:hAnsi="Arial"/>
          <w:color w:val="000000"/>
          <w:sz w:val="20"/>
          <w:szCs w:val="20"/>
        </w:rPr>
        <w:t xml:space="preserve">infection (conjunctivitis), changes to voice.</w:t>
      </w:r>
    </w:p>
    <w:p>
      <w:pPr>
        <w:pBdr/>
        <w:pStyle w:val="Normal"/>
        <w:spacing/>
        <w:ind w:left="-624" w:right="-709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624" w:right="-709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Other side effects reported</w:t>
      </w:r>
    </w:p>
    <w:p>
      <w:pPr>
        <w:pBdr/>
        <w:pStyle w:val="Normal"/>
        <w:spacing/>
        <w:ind w:left="-624" w:right="-7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F</w:t>
      </w:r>
      <w:r>
        <w:rPr>
          <w:rFonts w:ascii="Arial" w:eastAsia="Arial" w:hAnsi="Arial"/>
          <w:color w:val="000000"/>
          <w:sz w:val="20"/>
          <w:szCs w:val="20"/>
        </w:rPr>
        <w:t xml:space="preserve">ainting, high blood pressure, inflammation of the large intestine, vomiting, brain and blood </w:t>
      </w:r>
      <w:r>
        <w:rPr>
          <w:rFonts w:ascii="Arial" w:eastAsia="Arial" w:hAnsi="Arial"/>
          <w:color w:val="000000"/>
          <w:sz w:val="20"/>
          <w:szCs w:val="20"/>
        </w:rPr>
        <w:t xml:space="preserve">vessel-related </w:t>
      </w:r>
      <w:r>
        <w:rPr>
          <w:rFonts w:ascii="Arial" w:eastAsia="Arial" w:hAnsi="Arial"/>
          <w:color w:val="000000"/>
          <w:sz w:val="20"/>
          <w:szCs w:val="20"/>
        </w:rPr>
        <w:t xml:space="preserve">accident, inadequate heart blood flow, heart attack, heart muscle/artery-related </w:t>
      </w:r>
      <w:r>
        <w:rPr>
          <w:rFonts w:ascii="Arial" w:eastAsia="Arial" w:hAnsi="Arial"/>
          <w:color w:val="000000"/>
          <w:sz w:val="20"/>
          <w:szCs w:val="20"/>
        </w:rPr>
        <w:t xml:space="preserve">spasm.</w:t>
      </w:r>
    </w:p>
    <w:p>
      <w:pPr>
        <w:pBdr/>
        <w:pStyle w:val="Normal"/>
        <w:spacing/>
        <w:ind w:left="-624" w:right="-709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625" w:right="-426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 xml:space="preserve">If you experience any side effect, if any side effect gets worse, or if you experience a side </w:t>
      </w:r>
      <w:r>
        <w:rPr>
          <w:rFonts w:ascii="Arial" w:eastAsia="Arial" w:hAnsi="Arial"/>
          <w:b/>
          <w:bCs/>
          <w:sz w:val="20"/>
          <w:szCs w:val="20"/>
        </w:rPr>
        <w:t xml:space="preserve">effect </w:t>
      </w:r>
      <w:r>
        <w:rPr>
          <w:rFonts w:ascii="Arial" w:eastAsia="Arial" w:hAnsi="Arial"/>
          <w:b/>
          <w:bCs/>
          <w:sz w:val="20"/>
          <w:szCs w:val="20"/>
        </w:rPr>
        <w:t xml:space="preserve">not mentioned in this leaflet, consult your doctor.</w:t>
      </w:r>
    </w:p>
    <w:p>
      <w:pPr>
        <w:pBdr/>
        <w:pStyle w:val="Normal"/>
        <w:spacing/>
        <w:ind w:left="-625" w:right="-426"/>
        <w:rPr>
          <w:rFonts w:ascii="Arial" w:eastAsia="Arial" w:hAnsi="Arial" w:cs="Arial"/>
          <w:b/>
          <w:bCs/>
          <w:rtl/>
          <w:sz w:val="20"/>
          <w:szCs w:val="20"/>
        </w:rPr>
      </w:pPr>
    </w:p>
    <w:p>
      <w:pPr>
        <w:pBdr/>
        <w:pStyle w:val="Normal"/>
        <w:spacing/>
        <w:ind w:left="-625" w:right="-426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You can report side effects to the Ministry of Health by following the link "Reporting Side </w:t>
      </w:r>
      <w:r>
        <w:rPr>
          <w:rFonts w:ascii="Arial" w:eastAsia="Arial" w:hAnsi="Arial"/>
          <w:sz w:val="20"/>
          <w:szCs w:val="20"/>
        </w:rPr>
        <w:t xml:space="preserve">Effects of Drug </w:t>
      </w:r>
      <w:r>
        <w:rPr>
          <w:rFonts w:ascii="Arial" w:eastAsia="Arial" w:hAnsi="Arial"/>
          <w:sz w:val="20"/>
          <w:szCs w:val="20"/>
        </w:rPr>
        <w:t xml:space="preserve">Treatment" on the Ministry of Health home page (</w:t>
      </w:r>
      <w:bookmarkStart w:name="_Hlk512338884" w:id="5"/>
      <w:r>
        <w:rPr/>
        <w:fldChar w:fldCharType="begin"/>
      </w:r>
      <w:r>
        <w:rPr>
          <w:sz w:val="20"/>
          <w:szCs w:val="20"/>
          <w:u w:val="single"/>
        </w:rPr>
        <w:instrText xml:space="preserve"> HYPERLINK "http://www.health.gov.il/" </w:instrText>
      </w:r>
      <w:r>
        <w:rPr/>
        <w:fldChar w:fldCharType="separate"/>
      </w:r>
      <w:r>
        <w:rPr>
          <w:rStyle w:val="Hyperlink"/>
          <w:rFonts w:ascii="Arial" w:eastAsia="Arial" w:hAnsi="Arial"/>
          <w:sz w:val="20"/>
          <w:szCs w:val="20"/>
        </w:rPr>
        <w:t xml:space="preserve">www.health.gov.il</w:t>
      </w:r>
      <w:r>
        <w:rPr>
          <w:rStyle w:val="Hyperlink"/>
          <w:rFonts w:ascii="Arial" w:eastAsia="Arial" w:hAnsi="Arial" w:cs="Arial"/>
          <w:sz w:val="20"/>
          <w:szCs w:val="20"/>
        </w:rPr>
        <w:fldChar w:fldCharType="end"/>
      </w:r>
      <w:bookmarkEnd w:id="5"/>
      <w:r>
        <w:rPr>
          <w:rFonts w:ascii="Arial" w:eastAsia="Arial" w:hAnsi="Arial"/>
          <w:sz w:val="20"/>
          <w:szCs w:val="20"/>
        </w:rPr>
        <w:t xml:space="preserve">) which links to an online form for </w:t>
      </w:r>
      <w:r>
        <w:rPr>
          <w:rFonts w:ascii="Arial" w:eastAsia="Arial" w:hAnsi="Arial"/>
          <w:sz w:val="20"/>
          <w:szCs w:val="20"/>
        </w:rPr>
        <w:t xml:space="preserve">reporting side effects, or by using the link:</w:t>
      </w:r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/>
        <w:fldChar w:fldCharType="begin"/>
      </w:r>
      <w:r>
        <w:rPr/>
        <w:instrText xml:space="preserve">HYPERLINK "https://sideeffects.health.gov.il/" </w:instrText>
      </w:r>
      <w:r>
        <w:rPr/>
        <w:fldChar w:fldCharType="separate"/>
      </w:r>
      <w:r>
        <w:rPr>
          <w:rStyle w:val="Hyperlink"/>
          <w:rFonts w:ascii="Arial" w:eastAsia="Arial" w:hAnsi="Arial"/>
          <w:sz w:val="20"/>
          <w:szCs w:val="20"/>
        </w:rPr>
        <w:t xml:space="preserve">https://sideeffects.health.gov.il</w:t>
      </w:r>
      <w:r>
        <w:rPr/>
        <w:fldChar w:fldCharType="end"/>
      </w:r>
    </w:p>
    <w:p>
      <w:pPr>
        <w:pBdr/>
        <w:pStyle w:val="Normal"/>
        <w:spacing/>
        <w:ind w:right="-709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625" w:right="-709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numPr>
          <w:ilvl w:val="0"/>
          <w:numId w:val="10"/>
        </w:numPr>
        <w:spacing/>
        <w:ind w:left="368" w:right="-709" w:hanging="993"/>
        <w:rPr>
          <w:rFonts w:ascii="Arial" w:eastAsia="Arial" w:hAnsi="Arial"/>
          <w:b/>
          <w:bCs/>
          <w:color w:val="000000"/>
          <w:sz w:val="22"/>
          <w:szCs w:val="22"/>
        </w:rPr>
      </w:pPr>
      <w:r>
        <w:rPr>
          <w:rFonts w:ascii="Arial" w:eastAsia="Arial" w:hAnsi="Arial"/>
          <w:b/>
          <w:bCs/>
          <w:color w:val="000000"/>
          <w:sz w:val="22"/>
          <w:szCs w:val="22"/>
        </w:rPr>
        <w:t xml:space="preserve">HOW TO STORE THE MEDICINE?</w:t>
      </w:r>
    </w:p>
    <w:p>
      <w:pPr>
        <w:pBdr/>
        <w:pStyle w:val="Normal"/>
        <w:numPr>
          <w:ilvl w:val="0"/>
          <w:numId w:val="18"/>
        </w:numPr>
        <w:spacing/>
        <w:ind w:left="284" w:right="-709" w:hanging="284"/>
        <w:rPr>
          <w:rFonts w:ascii="Arial" w:eastAsia="Arial" w:hAnsi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Prevent poisoning! This and any other medicine should be kept in a closed place, out of the </w:t>
      </w:r>
      <w:r>
        <w:rPr>
          <w:rFonts w:ascii="Arial" w:eastAsia="Arial" w:hAnsi="Arial"/>
          <w:color w:val="000000"/>
          <w:sz w:val="20"/>
          <w:szCs w:val="20"/>
        </w:rPr>
        <w:t xml:space="preserve">reach </w:t>
      </w:r>
      <w:r>
        <w:rPr>
          <w:rFonts w:ascii="Arial" w:eastAsia="Arial" w:hAnsi="Arial"/>
          <w:color w:val="000000"/>
          <w:sz w:val="20"/>
          <w:szCs w:val="20"/>
        </w:rPr>
        <w:t xml:space="preserve">and sight of children and/or infants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to avoid poisoning. Do not induce vomiting unless explicitly </w:t>
      </w:r>
      <w:r>
        <w:rPr>
          <w:rFonts w:ascii="Arial" w:eastAsia="Arial" w:hAnsi="Arial"/>
          <w:color w:val="000000"/>
          <w:sz w:val="20"/>
          <w:szCs w:val="20"/>
        </w:rPr>
        <w:t xml:space="preserve">instructed to do so by a doct</w:t>
      </w:r>
      <w:r>
        <w:rPr>
          <w:rFonts w:ascii="Arial" w:eastAsia="Arial" w:hAnsi="Arial"/>
          <w:color w:val="000000"/>
          <w:sz w:val="20"/>
          <w:szCs w:val="20"/>
        </w:rPr>
        <w:t xml:space="preserve">or.</w:t>
      </w:r>
    </w:p>
    <w:p>
      <w:pPr>
        <w:pBdr/>
        <w:pStyle w:val="Normal"/>
        <w:numPr>
          <w:ilvl w:val="0"/>
          <w:numId w:val="18"/>
        </w:numPr>
        <w:spacing/>
        <w:ind w:left="284" w:right="-709" w:hanging="284"/>
        <w:rPr>
          <w:rFonts w:ascii="Arial" w:eastAsia="Arial" w:hAnsi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Do not use the medicine after the expiry date (exp. date) which is stated on the package. The </w:t>
      </w:r>
      <w:r>
        <w:rPr>
          <w:rFonts w:ascii="Arial" w:eastAsia="Arial" w:hAnsi="Arial"/>
          <w:color w:val="000000"/>
          <w:sz w:val="20"/>
          <w:szCs w:val="20"/>
        </w:rPr>
        <w:t xml:space="preserve">expiry date refers to the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last day of that month.</w:t>
      </w:r>
    </w:p>
    <w:p>
      <w:pPr>
        <w:pBdr/>
        <w:pStyle w:val="Normal"/>
        <w:numPr>
          <w:ilvl w:val="0"/>
          <w:numId w:val="18"/>
        </w:numPr>
        <w:spacing/>
        <w:ind w:left="284" w:right="-709" w:hanging="284"/>
        <w:rPr>
          <w:rFonts w:ascii="Arial" w:eastAsia="Arial" w:hAnsi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Store the medicine below 30</w:t>
      </w:r>
      <w:r>
        <w:rPr>
          <w:rFonts w:ascii="Arial" w:eastAsia="Arial" w:hAnsi="Arial"/>
          <w:color w:val="000000"/>
          <w:sz w:val="20"/>
          <w:szCs w:val="20"/>
          <w:vertAlign w:val="superscript"/>
        </w:rPr>
        <w:t xml:space="preserve">0</w:t>
      </w:r>
      <w:r>
        <w:rPr>
          <w:rFonts w:ascii="Arial" w:eastAsia="Arial" w:hAnsi="Arial"/>
          <w:color w:val="000000"/>
          <w:sz w:val="20"/>
          <w:szCs w:val="20"/>
        </w:rPr>
        <w:t xml:space="preserve">C.</w:t>
      </w:r>
    </w:p>
    <w:p>
      <w:pPr>
        <w:pBdr/>
        <w:pStyle w:val="Normal"/>
        <w:spacing/>
        <w:ind w:right="-709"/>
        <w:rPr>
          <w:rFonts w:ascii="Arial" w:eastAsia="Arial" w:hAnsi="Arial"/>
          <w:color w:val="000000"/>
          <w:sz w:val="20"/>
          <w:szCs w:val="20"/>
        </w:rPr>
      </w:pPr>
    </w:p>
    <w:p>
      <w:pPr>
        <w:pBdr/>
        <w:pStyle w:val="Normal"/>
        <w:spacing/>
        <w:ind w:left="-624" w:right="-426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6.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color w:val="000000"/>
          <w:sz w:val="22"/>
          <w:szCs w:val="22"/>
        </w:rPr>
        <w:t xml:space="preserve">FURTHER INFORMATION</w:t>
      </w:r>
    </w:p>
    <w:p>
      <w:pPr>
        <w:pBdr/>
        <w:pStyle w:val="Normal"/>
        <w:spacing/>
        <w:ind w:left="-625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In addition to the active ingredient, this medicine also contains: </w:t>
      </w:r>
    </w:p>
    <w:p>
      <w:pPr>
        <w:pBdr/>
        <w:pStyle w:val="Normal"/>
        <w:spacing/>
        <w:ind w:left="-567" w:right="-6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microcrystalline cellulose, lactose monohydrate, croscarmellose sodium, magnesium stearate, </w:t>
      </w:r>
      <w:r>
        <w:rPr>
          <w:rFonts w:ascii="Arial" w:eastAsia="Arial" w:hAnsi="Arial"/>
          <w:color w:val="000000"/>
          <w:sz w:val="20"/>
          <w:szCs w:val="20"/>
        </w:rPr>
        <w:t xml:space="preserve">titanium </w:t>
      </w:r>
      <w:r>
        <w:rPr>
          <w:rFonts w:ascii="Arial" w:eastAsia="Arial" w:hAnsi="Arial"/>
          <w:color w:val="000000"/>
          <w:sz w:val="20"/>
          <w:szCs w:val="20"/>
        </w:rPr>
        <w:t xml:space="preserve">dioxide (E171), </w:t>
      </w:r>
      <w:r>
        <w:rPr>
          <w:rFonts w:ascii="Arial" w:eastAsia="Arial" w:hAnsi="Arial"/>
          <w:color w:val="000000"/>
          <w:sz w:val="20"/>
          <w:szCs w:val="20"/>
        </w:rPr>
        <w:t xml:space="preserve">hypromellose</w:t>
      </w:r>
      <w:r>
        <w:rPr>
          <w:rFonts w:ascii="Arial" w:eastAsia="Arial" w:hAnsi="Arial"/>
          <w:color w:val="000000"/>
          <w:sz w:val="20"/>
          <w:szCs w:val="20"/>
        </w:rPr>
        <w:t xml:space="preserve">, glycerol triacetate and sunset yellow FCF aluminium lake (E110).</w:t>
      </w:r>
    </w:p>
    <w:p>
      <w:pPr>
        <w:pBdr/>
        <w:pStyle w:val="Normal"/>
        <w:spacing/>
        <w:ind w:left="-426" w:right="-625"/>
        <w:rPr>
          <w:rFonts w:ascii="Arial" w:eastAsia="Arial" w:hAnsi="Arial" w:cs="Arial"/>
          <w:color w:val="000000"/>
          <w:sz w:val="20"/>
          <w:szCs w:val="20"/>
        </w:rPr>
      </w:pPr>
    </w:p>
    <w:p>
      <w:pPr>
        <w:pBdr/>
        <w:pStyle w:val="Normal"/>
        <w:spacing/>
        <w:ind w:left="-625"/>
        <w:rPr>
          <w:rFonts w:ascii="Arial" w:eastAsia="Arial" w:hAnsi="Arial" w:cs="Arial"/>
          <w:color w:val="000000"/>
          <w:sz w:val="20"/>
          <w:szCs w:val="20"/>
          <w:u w:val="single"/>
        </w:rPr>
      </w:pPr>
      <w:r>
        <w:rPr>
          <w:rFonts w:ascii="Arial" w:eastAsia="Arial" w:hAnsi="Arial"/>
          <w:color w:val="000000"/>
          <w:sz w:val="20"/>
          <w:szCs w:val="20"/>
          <w:u w:val="single"/>
        </w:rPr>
        <w:t xml:space="preserve">The medicine contains lactose monohydrate:</w:t>
      </w:r>
    </w:p>
    <w:p>
      <w:pPr>
        <w:pBdr/>
        <w:pStyle w:val="Normal"/>
        <w:spacing/>
        <w:ind w:left="-6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Paracetamol</w:t>
      </w:r>
      <w:r>
        <w:rPr>
          <w:rFonts w:ascii="Arial" w:eastAsia="Arial" w:hAnsi="Arial"/>
          <w:color w:val="000000"/>
          <w:sz w:val="20"/>
          <w:szCs w:val="20"/>
          <w:vertAlign w:val="superscript"/>
        </w:rPr>
        <w:t xml:space="preserve">®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20 mg: 23 mg.</w:t>
      </w:r>
    </w:p>
    <w:p>
      <w:pPr>
        <w:pBdr/>
        <w:pStyle w:val="Normal"/>
        <w:spacing/>
        <w:ind w:left="-6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Paracetamol</w:t>
      </w:r>
      <w:r>
        <w:rPr>
          <w:rFonts w:ascii="Arial" w:eastAsia="Arial" w:hAnsi="Arial"/>
          <w:color w:val="000000"/>
          <w:sz w:val="20"/>
          <w:szCs w:val="20"/>
          <w:vertAlign w:val="superscript"/>
        </w:rPr>
        <w:t xml:space="preserve">®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40 mg: 46 mg.</w:t>
      </w:r>
    </w:p>
    <w:p>
      <w:pPr>
        <w:pBdr/>
        <w:pStyle w:val="Normal"/>
        <w:spacing/>
        <w:ind w:left="-6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Paracetamol</w:t>
      </w:r>
      <w:r>
        <w:rPr>
          <w:rFonts w:ascii="Arial" w:eastAsia="Arial" w:hAnsi="Arial"/>
          <w:color w:val="000000"/>
          <w:sz w:val="20"/>
          <w:szCs w:val="20"/>
          <w:vertAlign w:val="superscript"/>
        </w:rPr>
        <w:t xml:space="preserve">®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80 mg: 92 mg.</w:t>
      </w:r>
    </w:p>
    <w:p>
      <w:pPr>
        <w:pBdr/>
        <w:pStyle w:val="Normal"/>
        <w:spacing/>
        <w:ind w:left="-625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spacing/>
        <w:ind w:hanging="625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What the medicine looks like and contents of the pack: </w:t>
      </w:r>
      <w:bookmarkStart w:name="OLE_LINK16" w:id="6"/>
    </w:p>
    <w:bookmarkEnd w:id="6"/>
    <w:p>
      <w:pPr>
        <w:pBdr/>
        <w:pStyle w:val="Normal"/>
        <w:spacing/>
        <w:ind w:left="-6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Paracetamol</w:t>
      </w:r>
      <w:r>
        <w:rPr>
          <w:rFonts w:ascii="Arial" w:eastAsia="Arial" w:hAnsi="Arial"/>
          <w:color w:val="000000"/>
          <w:sz w:val="20"/>
          <w:szCs w:val="20"/>
          <w:vertAlign w:val="superscript"/>
        </w:rPr>
        <w:t xml:space="preserve">®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20 mg: A round, orange tablet marked “REP 20” on one side and “Pfizer” on the other </w:t>
      </w:r>
      <w:r>
        <w:rPr>
          <w:rFonts w:ascii="Arial" w:eastAsia="Arial" w:hAnsi="Arial"/>
          <w:color w:val="000000"/>
          <w:sz w:val="20"/>
          <w:szCs w:val="20"/>
        </w:rPr>
        <w:t xml:space="preserve">side.</w:t>
      </w:r>
    </w:p>
    <w:p>
      <w:pPr>
        <w:pBdr/>
        <w:pStyle w:val="Normal"/>
        <w:spacing/>
        <w:ind w:left="-6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Paracetamol</w:t>
      </w:r>
      <w:r>
        <w:rPr>
          <w:rFonts w:ascii="Arial" w:eastAsia="Arial" w:hAnsi="Arial"/>
          <w:color w:val="000000"/>
          <w:sz w:val="20"/>
          <w:szCs w:val="20"/>
          <w:vertAlign w:val="superscript"/>
        </w:rPr>
        <w:t xml:space="preserve">®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40 mg: A round, orange tablet marked “REP 40” on one side and “Pfizer” on the other </w:t>
      </w:r>
      <w:r>
        <w:rPr>
          <w:rFonts w:ascii="Arial" w:eastAsia="Arial" w:hAnsi="Arial"/>
          <w:color w:val="000000"/>
          <w:sz w:val="20"/>
          <w:szCs w:val="20"/>
        </w:rPr>
        <w:t xml:space="preserve">side.</w:t>
      </w:r>
    </w:p>
    <w:p>
      <w:pPr>
        <w:pBdr/>
        <w:pStyle w:val="Normal"/>
        <w:spacing/>
        <w:ind w:left="-6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Paracetamol</w:t>
      </w:r>
      <w:r>
        <w:rPr>
          <w:rFonts w:ascii="Arial" w:eastAsia="Arial" w:hAnsi="Arial"/>
          <w:color w:val="000000"/>
          <w:sz w:val="20"/>
          <w:szCs w:val="20"/>
          <w:vertAlign w:val="superscript"/>
        </w:rPr>
        <w:t xml:space="preserve">®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80 mg: A round, orange tablet marked “REP 80” on one side and “Pfizer” on the other </w:t>
      </w:r>
      <w:r>
        <w:rPr>
          <w:rFonts w:ascii="Arial" w:eastAsia="Arial" w:hAnsi="Arial"/>
          <w:color w:val="000000"/>
          <w:sz w:val="20"/>
          <w:szCs w:val="20"/>
        </w:rPr>
        <w:t xml:space="preserve">side.</w:t>
      </w:r>
    </w:p>
    <w:p>
      <w:pPr>
        <w:pBdr/>
        <w:pStyle w:val="Normal"/>
        <w:spacing/>
        <w:ind w:left="-625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6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The medicine is marketed in a package that contains 2, 3, 4, 5, 6 or 10 tablets. </w:t>
      </w:r>
    </w:p>
    <w:p>
      <w:pPr>
        <w:pBdr/>
        <w:pStyle w:val="Normal"/>
        <w:spacing/>
        <w:ind w:left="-6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Not all pack sizes may be marketed.</w:t>
      </w:r>
    </w:p>
    <w:p>
      <w:pPr>
        <w:pBdr/>
        <w:pStyle w:val="Normal"/>
        <w:spacing/>
        <w:ind w:left="-625"/>
        <w:rPr>
          <w:rFonts w:ascii="Arial" w:eastAsia="Arial" w:hAnsi="Arial" w:cs="Arial"/>
          <w:b/>
          <w:bCs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625"/>
        <w:rPr>
          <w:rFonts w:ascii="Arial" w:eastAsia="Arial" w:hAnsi="Arial" w:cs="Arial"/>
          <w:color w:val="000000"/>
          <w:sz w:val="20"/>
          <w:szCs w:val="20"/>
        </w:rPr>
      </w:pPr>
    </w:p>
    <w:p>
      <w:pPr>
        <w:pBdr/>
        <w:pStyle w:val="Normal"/>
        <w:spacing/>
        <w:ind w:left="-6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b/>
          <w:bCs/>
          <w:color w:val="000000"/>
          <w:sz w:val="20"/>
          <w:szCs w:val="20"/>
        </w:rPr>
        <w:t xml:space="preserve">Registration holder and address:</w:t>
      </w:r>
      <w:r>
        <w:rPr>
          <w:rFonts w:ascii="Arial" w:eastAsia="Arial" w:hAnsi="Arial"/>
          <w:color w:val="000000"/>
          <w:sz w:val="20"/>
          <w:szCs w:val="20"/>
        </w:rPr>
        <w:t xml:space="preserve"> Pfizer PFE Pharmaceuticals Israel Ltd., 9 </w:t>
      </w:r>
      <w:r>
        <w:rPr>
          <w:rFonts w:ascii="Arial" w:eastAsia="Arial" w:hAnsi="Arial"/>
          <w:color w:val="000000"/>
          <w:sz w:val="20"/>
          <w:szCs w:val="20"/>
        </w:rPr>
        <w:t xml:space="preserve">Shenkar</w:t>
      </w:r>
      <w:r>
        <w:rPr>
          <w:rFonts w:ascii="Arial" w:eastAsia="Arial" w:hAnsi="Arial"/>
          <w:color w:val="000000"/>
          <w:sz w:val="20"/>
          <w:szCs w:val="20"/>
        </w:rPr>
        <w:t xml:space="preserve"> St., Herzliya </w:t>
      </w:r>
      <w:r>
        <w:rPr>
          <w:rFonts w:ascii="Arial" w:eastAsia="Arial" w:hAnsi="Arial"/>
          <w:color w:val="000000"/>
          <w:sz w:val="20"/>
          <w:szCs w:val="20"/>
        </w:rPr>
        <w:t xml:space="preserve">Pituach</w:t>
      </w:r>
      <w:r>
        <w:rPr>
          <w:rFonts w:ascii="Arial" w:eastAsia="Arial" w:hAnsi="Arial"/>
          <w:color w:val="000000"/>
          <w:sz w:val="20"/>
          <w:szCs w:val="20"/>
        </w:rPr>
        <w:t xml:space="preserve"> 46725</w:t>
      </w:r>
      <w:r>
        <w:rPr>
          <w:rFonts w:ascii="Arial" w:eastAsia="Arial" w:hAnsi="Arial"/>
          <w:color w:val="000000"/>
          <w:sz w:val="20"/>
          <w:szCs w:val="20"/>
        </w:rPr>
        <w:t xml:space="preserve">.</w:t>
      </w:r>
    </w:p>
    <w:p>
      <w:pPr>
        <w:pBdr/>
        <w:pStyle w:val="Normal"/>
        <w:spacing/>
        <w:ind w:left="-625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625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Registration number of the medicine in the Ministry of Health’s National Drug Registry:</w:t>
      </w:r>
      <w:r>
        <w:rPr>
          <w:rFonts w:ascii="Arial" w:eastAsia="Arial" w:hAnsi="Arial"/>
          <w:b/>
          <w:bCs/>
          <w:color w:val="000000"/>
        </w:rPr>
        <w:t xml:space="preserve"> </w:t>
      </w:r>
    </w:p>
    <w:p>
      <w:pPr>
        <w:pBdr/>
        <w:pStyle w:val="Normal"/>
        <w:spacing/>
        <w:ind w:left="-6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Paracetamol</w:t>
      </w:r>
      <w:r>
        <w:rPr>
          <w:rFonts w:ascii="Arial" w:eastAsia="Arial" w:hAnsi="Arial"/>
          <w:color w:val="000000"/>
          <w:sz w:val="20"/>
          <w:szCs w:val="20"/>
          <w:vertAlign w:val="superscript"/>
        </w:rPr>
        <w:t xml:space="preserve">®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20 mg: 124.28.30370</w:t>
      </w:r>
    </w:p>
    <w:p>
      <w:pPr>
        <w:pBdr/>
        <w:pStyle w:val="Normal"/>
        <w:spacing/>
        <w:ind w:left="-6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Paracetamol</w:t>
      </w:r>
      <w:r>
        <w:rPr>
          <w:rFonts w:ascii="Arial" w:eastAsia="Arial" w:hAnsi="Arial"/>
          <w:color w:val="000000"/>
          <w:sz w:val="20"/>
          <w:szCs w:val="20"/>
          <w:vertAlign w:val="superscript"/>
        </w:rPr>
        <w:t xml:space="preserve">®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40 mg: 124.29.30371</w:t>
      </w:r>
    </w:p>
    <w:p>
      <w:pPr>
        <w:pBdr/>
        <w:pStyle w:val="Normal"/>
        <w:spacing/>
        <w:ind w:left="-62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0"/>
          <w:szCs w:val="20"/>
        </w:rPr>
        <w:t xml:space="preserve">Paracetamol</w:t>
      </w:r>
      <w:r>
        <w:rPr>
          <w:rFonts w:ascii="Arial" w:eastAsia="Arial" w:hAnsi="Arial"/>
          <w:color w:val="000000"/>
          <w:sz w:val="20"/>
          <w:szCs w:val="20"/>
          <w:vertAlign w:val="superscript"/>
        </w:rPr>
        <w:t xml:space="preserve">®</w:t>
      </w:r>
      <w:r>
        <w:rPr>
          <w:rFonts w:ascii="Arial" w:eastAsia="Arial" w:hAnsi="Arial"/>
          <w:color w:val="000000"/>
          <w:sz w:val="20"/>
          <w:szCs w:val="20"/>
        </w:rPr>
        <w:t xml:space="preserve"> </w:t>
      </w:r>
      <w:r>
        <w:rPr>
          <w:rFonts w:ascii="Arial" w:eastAsia="Arial" w:hAnsi="Arial"/>
          <w:color w:val="000000"/>
          <w:sz w:val="20"/>
          <w:szCs w:val="20"/>
        </w:rPr>
        <w:t xml:space="preserve">80 mg: 124.30.30372</w:t>
      </w:r>
    </w:p>
    <w:p>
      <w:pPr>
        <w:pBdr/>
        <w:pStyle w:val="Normal"/>
        <w:spacing/>
        <w:ind w:left="-625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625"/>
        <w:jc w:val="center"/>
        <w:rPr>
          <w:rFonts w:ascii="Arial" w:eastAsia="Arial" w:hAnsi="Arial" w:cs="Arial"/>
          <w:rtl/>
          <w:color w:val="000000"/>
          <w:sz w:val="20"/>
          <w:szCs w:val="20"/>
        </w:rPr>
      </w:pPr>
    </w:p>
    <w:p>
      <w:pPr>
        <w:pBdr/>
        <w:pStyle w:val="Normal"/>
        <w:spacing/>
        <w:ind w:left="-62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/>
          <w:color w:val="000000"/>
          <w:sz w:val="22"/>
          <w:szCs w:val="22"/>
        </w:rPr>
        <w:t xml:space="preserve">Revised in </w:t>
      </w:r>
      <w:r>
        <w:rPr>
          <w:rFonts w:ascii="Arial" w:eastAsia="Arial" w:hAnsi="Arial"/>
          <w:color w:val="000000"/>
          <w:sz w:val="22"/>
          <w:szCs w:val="22"/>
        </w:rPr>
        <w:t xml:space="preserve">0</w:t>
      </w:r>
      <w:r>
        <w:rPr>
          <w:rFonts w:ascii="Arial" w:eastAsia="Arial" w:hAnsi="Arial"/>
          <w:color w:val="000000"/>
          <w:sz w:val="22"/>
          <w:szCs w:val="22"/>
        </w:rPr>
        <w:t xml:space="preserve">5</w:t>
      </w:r>
      <w:r>
        <w:rPr>
          <w:rFonts w:ascii="Arial" w:eastAsia="Arial" w:hAnsi="Arial"/>
          <w:color w:val="000000"/>
          <w:sz w:val="22"/>
          <w:szCs w:val="22"/>
        </w:rPr>
        <w:t xml:space="preserve">/2021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/>
          <w:color w:val="000000"/>
          <w:sz w:val="22"/>
          <w:szCs w:val="22"/>
        </w:rPr>
        <w:t xml:space="preserve">according to MOH guidelines.</w:t>
      </w:r>
    </w:p>
    <w:sectPr>
      <w:footerReference w:type="even" r:id="rId1"/>
      <w:headerReference w:type="default" r:id="rId2"/>
      <w:footerReference w:type="default" r:id="rId3"/>
      <w:type w:val="nextPage"/>
      <w:pgSz w:w="11906" w:h="16838"/>
      <w:pgMar w:top="820" w:right="1800" w:bottom="1440" w:left="1800" w:header="426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/>
    </w:pPr>
    <w:r>
      <w:rPr>
        <w:rStyle w:val="Page Number"/>
      </w:rPr>
      <w:fldChar w:fldCharType="begin"/>
    </w:r>
    <w:r>
      <w:rPr>
        <w:rStyle w:val="Page Number"/>
      </w:rPr>
      <w:instrText xml:space="preserve">PAGE  </w:instrText>
    </w:r>
    <w:r>
      <w:rPr/>
      <w:fldChar w:fldCharType="separate"/>
    </w:r>
    <w:r>
      <w:rPr>
        <w:rStyle w:val="Page Number"/>
      </w:rPr>
      <w:t xml:space="preserve">1</w:t>
    </w:r>
    <w:r>
      <w:rPr>
        <w:rStyle w:val="Page Number"/>
      </w:rPr>
      <w:fldChar w:fldCharType="end"/>
    </w:r>
  </w:p>
  <w:p>
    <w:pPr>
      <w:pBdr/>
      <w:pStyle w:val="Footer"/>
      <w:spacing/>
      <w:ind/>
      <w:rPr/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/>
    </w:pPr>
    <w:r>
      <w:rPr>
        <w:rStyle w:val="Page Number"/>
      </w:rPr>
      <w:fldChar w:fldCharType="begin"/>
    </w:r>
    <w:r>
      <w:rPr>
        <w:rStyle w:val="Page Number"/>
      </w:rPr>
      <w:instrText xml:space="preserve">PAGE  </w:instrText>
    </w:r>
    <w:r>
      <w:rPr/>
      <w:fldChar w:fldCharType="separate"/>
    </w:r>
    <w:r>
      <w:rPr>
        <w:rStyle w:val="Page Number"/>
      </w:rPr>
      <w:t xml:space="preserve">1</w:t>
    </w:r>
    <w:r>
      <w:rPr>
        <w:rStyle w:val="Page Number"/>
      </w:rPr>
      <w:fldChar w:fldCharType="end"/>
    </w:r>
  </w:p>
  <w:p>
    <w:pPr>
      <w:pBdr/>
      <w:pStyle w:val="Footer"/>
      <w:spacing/>
      <w:ind/>
      <w:rPr/>
    </w:pPr>
    <w:r>
      <w:rPr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rPr>
        <w:sz w:val="18"/>
        <w:szCs w:val="18"/>
      </w:rPr>
    </w:pPr>
    <w:r>
      <w:rPr>
        <w:sz w:val="18"/>
        <w:szCs w:val="18"/>
      </w:rPr>
      <w:t xml:space="preserve">Paracetamol</w:t>
    </w:r>
    <w:r>
      <w:rPr>
        <w:sz w:val="18"/>
        <w:szCs w:val="18"/>
      </w:rPr>
      <w:t xml:space="preserve"> </w:t>
    </w:r>
    <w:r>
      <w:rPr>
        <w:sz w:val="18"/>
        <w:szCs w:val="18"/>
      </w:rPr>
      <w:t xml:space="preserve">PIL WC 111120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nsid w:val="A2B377C"/>
    <w:lvl w:ilvl="0">
      <w:start w:val="0"/>
      <w:numFmt w:val="bullet"/>
      <w:suff w:val="tab"/>
      <w:lvlText w:val=""/>
      <w:pPr>
        <w:pBdr/>
        <w:spacing/>
        <w:ind w:left="95" w:hanging="360"/>
      </w:pPr>
      <w:rPr>
        <w:rFonts w:ascii="Symbol" w:eastAsia="Symbol" w:hAnsi="Symbol"/>
      </w:rPr>
    </w:lvl>
    <w:lvl w:ilvl="1">
      <w:start w:val="0"/>
      <w:numFmt w:val="bullet"/>
      <w:suff w:val="tab"/>
      <w:lvlText w:val="o"/>
      <w:pPr>
        <w:pBdr/>
        <w:spacing/>
        <w:ind w:left="815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1535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255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2975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3695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4415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135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5855" w:hanging="360"/>
      </w:pPr>
      <w:rPr>
        <w:rFonts w:ascii="Wingdings" w:eastAsia="Wingdings" w:hAnsi="Wingdings"/>
      </w:rPr>
    </w:lvl>
  </w:abstractNum>
  <w:abstractNum w:abstractNumId="3">
    <w:nsid w:val="B707A93"/>
    <w:lvl w:ilvl="0">
      <w:start w:val="0"/>
      <w:numFmt w:val="bullet"/>
      <w:suff w:val="tab"/>
      <w:lvlText w:val=""/>
      <w:pPr>
        <w:pBdr/>
        <w:spacing/>
        <w:ind w:left="95" w:hanging="360"/>
      </w:pPr>
      <w:rPr>
        <w:rFonts w:ascii="Symbol" w:eastAsia="Symbol" w:hAnsi="Symbol"/>
      </w:rPr>
    </w:lvl>
    <w:lvl w:ilvl="1">
      <w:start w:val="0"/>
      <w:numFmt w:val="bullet"/>
      <w:suff w:val="tab"/>
      <w:lvlText w:val="o"/>
      <w:pPr>
        <w:pBdr/>
        <w:spacing/>
        <w:ind w:left="815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1535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255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2975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3695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4415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135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5855" w:hanging="360"/>
      </w:pPr>
      <w:rPr>
        <w:rFonts w:ascii="Wingdings" w:eastAsia="Wingdings" w:hAnsi="Wingdings"/>
      </w:rPr>
    </w:lvl>
  </w:abstractNum>
  <w:abstractNum w:abstractNumId="7">
    <w:nsid w:val="17CF116F"/>
    <w:lvl w:ilvl="0">
      <w:start w:val="0"/>
      <w:numFmt w:val="bullet"/>
      <w:suff w:val="tab"/>
      <w:lvlText w:val=""/>
      <w:pPr>
        <w:pBdr/>
        <w:spacing/>
        <w:ind w:left="360" w:hanging="360"/>
      </w:pPr>
      <w:rPr>
        <w:rFonts w:ascii="Symbol" w:eastAsia="Symbol" w:hAnsi="Symbol"/>
        <w:b/>
        <w:bCs/>
      </w:rPr>
    </w:lvl>
    <w:lvl w:ilvl="1">
      <w:start w:val="0"/>
      <w:numFmt w:val="bullet"/>
      <w:suff w:val="tab"/>
      <w:lvlText w:val="o"/>
      <w:pPr>
        <w:pBdr/>
        <w:spacing/>
        <w:ind w:left="108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180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52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24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396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468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40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120" w:hanging="360"/>
      </w:pPr>
      <w:rPr>
        <w:rFonts w:ascii="Wingdings" w:eastAsia="Wingdings" w:hAnsi="Wingdings"/>
      </w:rPr>
    </w:lvl>
  </w:abstractNum>
  <w:abstractNum w:abstractNumId="9">
    <w:nsid w:val="2BAF26E1"/>
    <w:lvl w:ilvl="0">
      <w:start w:val="1"/>
      <w:numFmt w:val="decimal"/>
      <w:suff w:val="tab"/>
      <w:lvlText w:val="%1."/>
      <w:pPr>
        <w:pBdr/>
        <w:spacing/>
        <w:ind w:left="785" w:hanging="360"/>
      </w:pPr>
      <w:rPr>
        <w:b/>
        <w:bCs/>
      </w:rPr>
    </w:lvl>
    <w:lvl w:ilvl="1">
      <w:start w:val="1"/>
      <w:numFmt w:val="lowerLetter"/>
      <w:suff w:val="tab"/>
      <w:lvlText w:val="%2."/>
      <w:pPr>
        <w:pBdr/>
        <w:spacing/>
        <w:ind w:left="1505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225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945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65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85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105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825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545" w:hanging="180"/>
      </w:pPr>
      <w:rPr/>
    </w:lvl>
  </w:abstractNum>
  <w:abstractNum w:abstractNumId="12">
    <w:nsid w:val="40332030"/>
    <w:lvl w:ilvl="0">
      <w:start w:val="0"/>
      <w:numFmt w:val="bullet"/>
      <w:suff w:val="tab"/>
      <w:lvlText w:val=""/>
      <w:pPr>
        <w:pBdr/>
        <w:spacing/>
        <w:ind w:left="95" w:hanging="360"/>
      </w:pPr>
      <w:rPr>
        <w:rFonts w:ascii="Symbol" w:eastAsia="Symbol" w:hAnsi="Symbol"/>
      </w:rPr>
    </w:lvl>
    <w:lvl w:ilvl="1">
      <w:start w:val="0"/>
      <w:numFmt w:val="bullet"/>
      <w:suff w:val="tab"/>
      <w:lvlText w:val="o"/>
      <w:pPr>
        <w:pBdr/>
        <w:spacing/>
        <w:ind w:left="815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1535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255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2975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3695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4415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135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5855" w:hanging="360"/>
      </w:pPr>
      <w:rPr>
        <w:rFonts w:ascii="Wingdings" w:eastAsia="Wingdings" w:hAnsi="Wingdings"/>
      </w:rPr>
    </w:lvl>
  </w:abstractNum>
  <w:abstractNum w:abstractNumId="13">
    <w:nsid w:val="469F791E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abstractNum w:abstractNumId="14">
    <w:nsid w:val="4BE55983"/>
    <w:lvl w:ilvl="0">
      <w:start w:val="0"/>
      <w:numFmt w:val="bullet"/>
      <w:suff w:val="tab"/>
      <w:lvlText w:val=""/>
      <w:pPr>
        <w:pBdr/>
        <w:spacing/>
        <w:ind w:left="95" w:hanging="360"/>
      </w:pPr>
      <w:rPr>
        <w:rFonts w:ascii="Symbol" w:eastAsia="Symbol" w:hAnsi="Symbol"/>
      </w:rPr>
    </w:lvl>
    <w:lvl w:ilvl="1">
      <w:start w:val="0"/>
      <w:numFmt w:val="bullet"/>
      <w:suff w:val="tab"/>
      <w:lvlText w:val="o"/>
      <w:pPr>
        <w:pBdr/>
        <w:spacing/>
        <w:ind w:left="815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1535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255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2975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3695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4415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135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5855" w:hanging="360"/>
      </w:pPr>
      <w:rPr>
        <w:rFonts w:ascii="Wingdings" w:eastAsia="Wingdings" w:hAnsi="Wingdings"/>
      </w:rPr>
    </w:lvl>
  </w:abstractNum>
  <w:abstractNum w:abstractNumId="17">
    <w:nsid w:val="5D3346D1"/>
    <w:lvl w:ilvl="0">
      <w:start w:val="0"/>
      <w:numFmt w:val="bullet"/>
      <w:suff w:val="tab"/>
      <w:lvlText w:val=""/>
      <w:pPr>
        <w:pBdr/>
        <w:spacing/>
        <w:ind w:left="95" w:hanging="360"/>
      </w:pPr>
      <w:rPr>
        <w:rFonts w:ascii="Symbol" w:eastAsia="Symbol" w:hAnsi="Symbol"/>
      </w:rPr>
    </w:lvl>
    <w:lvl w:ilvl="1">
      <w:start w:val="0"/>
      <w:numFmt w:val="bullet"/>
      <w:suff w:val="tab"/>
      <w:lvlText w:val="o"/>
      <w:pPr>
        <w:pBdr/>
        <w:spacing/>
        <w:ind w:left="815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1535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255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2975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3695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4415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135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5855" w:hanging="360"/>
      </w:pPr>
      <w:rPr>
        <w:rFonts w:ascii="Wingdings" w:eastAsia="Wingdings" w:hAnsi="Wingdings"/>
      </w:rPr>
    </w:lvl>
  </w:abstractNum>
  <w:num w:numId="2">
    <w:abstractNumId w:val="1"/>
  </w:num>
  <w:num w:numId="4">
    <w:abstractNumId w:val="3"/>
  </w:num>
  <w:num w:numId="8">
    <w:abstractNumId w:val="7"/>
  </w:num>
  <w:num w:numId="10">
    <w:abstractNumId w:val="9"/>
  </w:num>
  <w:num w:numId="13">
    <w:abstractNumId w:val="12"/>
  </w:num>
  <w:num w:numId="14">
    <w:abstractNumId w:val="13"/>
  </w:num>
  <w:num w:numId="15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 w:bidi="he-IL" w:eastAsia="zh-CN"/>
  <w:displayBackgroundShape/>
  <w:defaultTabStop w:val="720"/>
  <w:compat>
    <w:allowSpaceOfSameStyleInTable/>
    <w:compatSetting w:name="compatibilityMode" w:uri="http://schemas.microsoft.com/office/word" w:val="11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>
      <w:sz w:val="24"/>
      <w:szCs w:val="24"/>
    </w:rPr>
  </w:style>
  <w:style w:type="paragraph" w:styleId="Heading 1">
    <w:name w:val="Heading 1"/>
    <w:basedOn w:val="Normal"/>
    <w:next w:val="Normal"/>
    <w:pPr>
      <w:pBdr/>
      <w:keepNext/>
      <w:outlineLvl w:val="0"/>
      <w:spacing w:before="240" w:after="60"/>
      <w:ind/>
    </w:pPr>
    <w:rPr>
      <w:rFonts w:ascii="Cambria" w:eastAsia="Cambria" w:hAnsi="Cambria"/>
      <w:b/>
      <w:bCs/>
      <w:sz w:val="32"/>
      <w:szCs w:val="32"/>
    </w:rPr>
  </w:style>
  <w:style w:type="character" w:styleId="Heading 1 Char">
    <w:name w:val="Heading 1 Char"/>
    <w:basedOn w:val="Default Paragraph Font"/>
    <w:rPr>
      <w:rFonts w:ascii="Cambria" w:eastAsia="Cambria" w:hAnsi="Cambria"/>
      <w:b/>
      <w:bCs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outlineLvl w:val="1"/>
      <w:spacing w:before="240" w:after="60"/>
      <w:ind/>
    </w:pPr>
    <w:rPr>
      <w:rFonts w:ascii="Calibri Light" w:eastAsia="Calibri Light" w:hAnsi="Calibri Light"/>
      <w:b/>
      <w:bCs/>
      <w:i/>
      <w:iCs/>
      <w:sz w:val="28"/>
      <w:szCs w:val="28"/>
    </w:rPr>
  </w:style>
  <w:style w:type="character" w:styleId="Heading 2 Char">
    <w:name w:val="Heading 2 Char"/>
    <w:basedOn w:val="Default Paragraph Font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Normal Table">
    <w:name w:val="Normal Table"/>
    <w:next w:val="Normal Table"/>
  </w:style>
  <w:style w:type="character" w:styleId="Hyperlink">
    <w:name w:val="Hyperlink"/>
    <w:basedOn w:val="Default Paragraph Font"/>
    <w:rPr>
      <w:color w:val="0000FF"/>
      <w:u w:val="single"/>
    </w:rPr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/>
  </w:style>
  <w:style w:type="paragraph" w:styleId="Footer">
    <w:name w:val="Footer"/>
    <w:basedOn w:val="Normal"/>
    <w:next w:val="Footer"/>
    <w:pPr>
      <w:pBdr/>
      <w:spacing/>
      <w:ind/>
      <w:tabs>
        <w:tab w:val="center" w:pos="4152.9998779296875"/>
        <w:tab w:val="right" w:pos="8305.999755859375"/>
      </w:tabs>
    </w:pPr>
    <w:rPr/>
  </w:style>
  <w:style w:type="character" w:styleId="Page Number">
    <w:name w:val="Page Number"/>
    <w:basedOn w:val="Default Paragraph Font"/>
    <w:rPr/>
  </w:style>
  <w:style w:type="paragraph" w:styleId="annotation text">
    <w:name w:val="annotation text"/>
    <w:basedOn w:val="Normal"/>
    <w:next w:val="annotation text"/>
    <w:pPr>
      <w:pBdr/>
      <w:spacing/>
      <w:ind/>
    </w:pPr>
    <w:rPr>
      <w:sz w:val="20"/>
      <w:szCs w:val="20"/>
    </w:rPr>
  </w:style>
  <w:style w:type="paragraph" w:styleId="Header">
    <w:name w:val="Header"/>
    <w:basedOn w:val="Normal"/>
    <w:next w:val="Header"/>
    <w:pPr>
      <w:pBdr/>
      <w:spacing/>
      <w:ind/>
      <w:tabs>
        <w:tab w:val="center" w:pos="4320"/>
        <w:tab w:val="right" w:pos="8640"/>
      </w:tabs>
    </w:pPr>
    <w:rPr/>
  </w:style>
  <w:style w:type="character" w:styleId="Header Char">
    <w:name w:val="Header Char"/>
    <w:basedOn w:val="Default Paragraph Font"/>
    <w:rPr>
      <w:sz w:val="24"/>
      <w:szCs w:val="24"/>
    </w:rPr>
  </w:style>
  <w:style w:type="paragraph" w:styleId="List Paragraph">
    <w:name w:val="List Paragraph"/>
    <w:basedOn w:val="Normal"/>
    <w:next w:val="List Paragraph"/>
    <w:pPr>
      <w:pBdr/>
      <w:spacing/>
      <w:ind w:left="720"/>
    </w:pPr>
    <w:rPr/>
  </w:style>
  <w:style w:type="paragraph" w:styleId="Balloon Text">
    <w:name w:val="Balloon Text"/>
    <w:basedOn w:val="Normal"/>
    <w:next w:val="Balloon Text"/>
    <w:pPr>
      <w:pBdr/>
      <w:spacing/>
      <w:ind/>
    </w:pPr>
    <w:rPr>
      <w:rFonts w:ascii="Tahoma" w:eastAsia="Tahoma" w:hAnsi="Tahoma"/>
      <w:sz w:val="16"/>
      <w:szCs w:val="16"/>
    </w:rPr>
  </w:style>
  <w:style w:type="character" w:styleId="Balloon Text Char">
    <w:name w:val="Balloon Text Char"/>
    <w:basedOn w:val="Default Paragraph Font"/>
    <w:rPr>
      <w:rFonts w:ascii="Tahoma" w:eastAsia="Tahoma" w:hAnsi="Tahoma" w:cs="Tahoma"/>
      <w:sz w:val="16"/>
      <w:szCs w:val="16"/>
    </w:rPr>
  </w:style>
  <w:style w:type="paragraph" w:styleId="Body Text">
    <w:name w:val="Body Text"/>
    <w:basedOn w:val="Normal"/>
    <w:next w:val="Body Text"/>
    <w:pPr>
      <w:pBdr/>
      <w:spacing/>
      <w:ind/>
    </w:pPr>
    <w:rPr>
      <w:color w:val="0000FF"/>
    </w:rPr>
  </w:style>
  <w:style w:type="character" w:styleId="Body Text Char">
    <w:name w:val="Body Text Char"/>
    <w:basedOn w:val="Default Paragraph Font"/>
    <w:rPr>
      <w:rFonts w:cs="David Transparent"/>
      <w:color w:val="0000FF"/>
      <w:sz w:val="24"/>
      <w:szCs w:val="24"/>
    </w:rPr>
  </w:style>
  <w:style w:type="character" w:styleId="st1">
    <w:name w:val="st1"/>
    <w:basedOn w:val="Default Paragraph Font"/>
    <w:rPr/>
  </w:style>
  <w:style w:type="character" w:styleId="TableText 12">
    <w:name w:val="TableText 12"/>
    <w:basedOn w:val="Default Paragraph Font"/>
    <w:rPr>
      <w:rFonts w:ascii="Times New Roman" w:eastAsia="Times New Roman" w:hAnsi="Times New Roman" w:cs="Times New Roman"/>
      <w:sz w:val="24"/>
      <w:szCs w:val="24"/>
    </w:rPr>
  </w:style>
  <w:style w:type="character" w:styleId="annotation reference">
    <w:name w:val="annotation reference"/>
    <w:basedOn w:val="Default Paragraph Font"/>
    <w:rPr>
      <w:sz w:val="16"/>
      <w:szCs w:val="16"/>
    </w:rPr>
  </w:style>
  <w:style w:type="paragraph" w:styleId="annotation subject">
    <w:name w:val="annotation subject"/>
    <w:basedOn w:val="Comment Text_0"/>
    <w:next w:val="Comment Text_0"/>
    <w:pPr>
      <w:pBdr/>
      <w:spacing/>
      <w:ind/>
    </w:pPr>
    <w:rPr>
      <w:b/>
      <w:bCs/>
    </w:rPr>
  </w:style>
  <w:style w:type="paragraph" w:styleId="Comment Text_0">
    <w:name w:val="Comment Text_0"/>
    <w:basedOn w:val="Normal"/>
    <w:next w:val="Comment Text_0"/>
    <w:pPr>
      <w:pBdr/>
      <w:spacing/>
      <w:ind/>
    </w:pPr>
    <w:rPr>
      <w:sz w:val="20"/>
      <w:szCs w:val="20"/>
    </w:rPr>
  </w:style>
  <w:style w:type="character" w:styleId="Comment Text Char">
    <w:name w:val="Comment Text Char"/>
    <w:basedOn w:val="Default Paragraph Font"/>
    <w:rPr/>
  </w:style>
  <w:style w:type="character" w:styleId="Comment Subject Char">
    <w:name w:val="Comment Subject Char"/>
    <w:basedOn w:val="Default Paragraph Font"/>
    <w:rPr>
      <w:b/>
      <w:bCs/>
    </w:rPr>
  </w:style>
  <w:style w:type="paragraph" w:styleId="Revision">
    <w:name w:val="Revision"/>
    <w:next w:val="Revision"/>
    <w:pPr>
      <w:pBdr/>
      <w:spacing/>
      <w:ind/>
    </w:pPr>
    <w:rPr>
      <w:sz w:val="24"/>
      <w:szCs w:val="24"/>
    </w:rPr>
  </w:style>
  <w:style w:type="paragraph" w:styleId="HTML Preformatted">
    <w:name w:val="HTML Preformatted"/>
    <w:basedOn w:val="Normal"/>
    <w:next w:val="HTML Preformatted"/>
    <w:pPr>
      <w:pBdr/>
      <w:spacing/>
      <w:ind/>
      <w:tabs>
        <w:tab w:val="left" w:pos="915.9999847412109"/>
        <w:tab w:val="left" w:pos="1831.9999694824219"/>
        <w:tab w:val="left" w:pos="2747.9998779296875"/>
        <w:tab w:val="left" w:pos="3663.9999389648438"/>
        <w:tab w:val="left" w:pos="4580"/>
        <w:tab w:val="left" w:pos="5495.999755859375"/>
        <w:tab w:val="left" w:pos="6412.0001220703125"/>
        <w:tab w:val="left" w:pos="7327.9998779296875"/>
        <w:tab w:val="left" w:pos="8244.000244140625"/>
        <w:tab w:val="left" w:pos="9160"/>
        <w:tab w:val="left" w:pos="10075.999755859375"/>
        <w:tab w:val="left" w:pos="10991.99951171875"/>
        <w:tab w:val="left" w:pos="11908.00048828125"/>
        <w:tab w:val="left" w:pos="12824.000244140625"/>
        <w:tab w:val="left" w:pos="13740"/>
        <w:tab w:val="left" w:pos="14655.999755859375"/>
      </w:tabs>
    </w:pPr>
    <w:rPr>
      <w:rFonts w:ascii="Courier New" w:eastAsia="Courier New" w:hAnsi="Courier New" w:cs="Courier New"/>
      <w:sz w:val="20"/>
      <w:szCs w:val="20"/>
    </w:rPr>
  </w:style>
  <w:style w:type="character" w:styleId="HTML Preformatted Char">
    <w:name w:val="HTML Preformatted Char"/>
    <w:basedOn w:val="Default Paragraph Font"/>
    <w:rPr>
      <w:rFonts w:ascii="Courier New" w:eastAsia="Courier New" w:hAnsi="Courier New" w:cs="Courier New"/>
    </w:rPr>
  </w:style>
  <w:style w:type="paragraph" w:styleId="CM20">
    <w:name w:val="CM20"/>
    <w:basedOn w:val="Normal"/>
    <w:next w:val="Normal"/>
    <w:pPr>
      <w:pBdr/>
      <w:spacing w:after="278"/>
      <w:widowControl w:val="0"/>
      <w:ind/>
    </w:pPr>
    <w:rPr/>
  </w:style>
  <w:style w:type="paragraph" w:styleId="Table-text">
    <w:name w:val="Table-text"/>
    <w:basedOn w:val="Normal"/>
    <w:next w:val="Table-text"/>
    <w:pPr>
      <w:pBdr/>
      <w:spacing w:before="120" w:after="200" w:line="360" w:lineRule="auto"/>
      <w:ind w:left="57"/>
    </w:pPr>
    <w:rPr>
      <w:rFonts w:ascii="Arial" w:eastAsia="Calibri" w:hAnsi="Arial" w:cs="Arial"/>
      <w:sz w:val="20"/>
      <w:szCs w:val="22"/>
    </w:rPr>
  </w:style>
  <w:style w:type="character" w:styleId="Table-text Char">
    <w:name w:val="Table-text Char"/>
    <w:basedOn w:val="Default Paragraph Font"/>
    <w:rPr>
      <w:rFonts w:ascii="Arial" w:eastAsia="Calibri" w:hAnsi="Arial" w:cs="Arial"/>
      <w:szCs w:val="22"/>
    </w:rPr>
  </w:style>
  <w:style w:type="character" w:styleId="Comment Reference_0">
    <w:name w:val="Comment Reference_0"/>
    <w:basedOn w:val="Default Paragraph Font"/>
    <w:rPr>
      <w:sz w:val="16"/>
      <w:szCs w:val="16"/>
    </w:rPr>
  </w:style>
  <w:style w:type="paragraph" w:styleId="Body Text-Eng">
    <w:name w:val="Body Text-Eng"/>
    <w:basedOn w:val="Normal"/>
    <w:next w:val="Body Text-Eng"/>
    <w:pPr>
      <w:pBdr/>
      <w:spacing w:before="60" w:line="276" w:lineRule="auto"/>
      <w:ind w:left="567"/>
    </w:pPr>
    <w:rPr>
      <w:rFonts w:ascii="Arial" w:eastAsia="Calibri" w:hAnsi="Arial" w:cs="Arial"/>
      <w:sz w:val="20"/>
      <w:szCs w:val="22"/>
    </w:rPr>
  </w:style>
  <w:style w:type="character" w:styleId="Body Text-Eng Char">
    <w:name w:val="Body Text-Eng Char"/>
    <w:basedOn w:val="Default Paragraph Font"/>
    <w:rPr>
      <w:rFonts w:ascii="Arial" w:eastAsia="Calibri" w:hAnsi="Arial" w:cs="Arial"/>
      <w:szCs w:val="22"/>
    </w:rPr>
  </w:style>
  <w:style w:type="paragraph" w:styleId="Header-1">
    <w:name w:val="Header-1"/>
    <w:basedOn w:val="Body Text-Eng"/>
    <w:next w:val="Body Text-Eng"/>
    <w:pPr>
      <w:pBdr/>
      <w:outlineLvl w:val="0"/>
      <w:spacing w:before="240" w:after="240" w:line="240" w:lineRule="auto"/>
      <w:ind w:hanging="567"/>
    </w:pPr>
    <w:rPr>
      <w:b/>
      <w:sz w:val="22"/>
    </w:rPr>
  </w:style>
  <w:style w:type="character" w:styleId="Header-1 Char">
    <w:name w:val="Header-1 Char"/>
    <w:basedOn w:val="Default Paragraph Font"/>
    <w:rPr>
      <w:rFonts w:ascii="Arial" w:eastAsia="Calibri" w:hAnsi="Arial" w:cs="Arial"/>
      <w:b/>
      <w:sz w:val="22"/>
      <w:szCs w:val="22"/>
    </w:rPr>
  </w:style>
  <w:style w:type="table" w:styleId="Table Grid">
    <w:name w:val="Table Grid"/>
    <w:basedOn w:val="Normal Table"/>
    <w:next w:val="Table Grid"/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endnotes" Target="endnotes.xml" /><Relationship Id="rId7" Type="http://schemas.openxmlformats.org/officeDocument/2006/relationships/footnotes" Target="footnotes.xml" /><Relationship Id="rId8" Type="http://schemas.openxmlformats.org/officeDocument/2006/relationships/theme" Target="theme/theme1.xml" /><Relationship Id="rId9" Type="http://schemas.openxmlformats.org/officeDocument/2006/relationships/numbering" Target="numbering.xml" /><Relationship Id="rId1" Type="http://schemas.openxmlformats.org/officeDocument/2006/relationships/footer" Target="footer1.xml" /><Relationship Id="rId3" Type="http://schemas.openxmlformats.org/officeDocument/2006/relationships/footer" Target="footer3.xml" /><Relationship Id="rId2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