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"/>
        <w:tblW w:w="40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8"/>
        <w:gridCol w:w="574"/>
        <w:gridCol w:w="2873"/>
        <w:gridCol w:w="958"/>
        <w:gridCol w:w="1723"/>
        <w:gridCol w:w="574"/>
        <w:gridCol w:w="9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</w:tbl>
    <w:p>
      <w:pPr>
        <w:pBdr/>
        <w:pStyle w:val="First Paragraph"/>
        <w:spacing/>
        <w:ind/>
        <w:rPr/>
      </w:pPr>
      <w:r>
        <w:rPr>
          <w:b/>
          <w:bCs/>
        </w:rPr>
        <w:t xml:space="preserve">Hebrew File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