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3F2A" w:rsidRDefault="00FD1A5A">
      <w:pPr>
        <w:pStyle w:val="Title"/>
      </w:pPr>
      <w:bookmarkStart w:id="0" w:name="_GoBack"/>
      <w:r>
        <w:t>Asymmetries in the representation of presence and absence</w:t>
      </w:r>
    </w:p>
    <w:bookmarkEnd w:id="0"/>
    <w:p w:rsidR="00963F2A" w:rsidRDefault="00FD1A5A">
      <w:pPr>
        <w:pStyle w:val="Author"/>
      </w:pPr>
      <w:r>
        <w:t>Matan Mazor</w:t>
      </w:r>
      <w:r>
        <w:rPr>
          <w:vertAlign w:val="superscript"/>
        </w:rPr>
        <w:t>1</w:t>
      </w:r>
      <w:r>
        <w:t>, Rani Moran</w:t>
      </w:r>
      <w:r>
        <w:rPr>
          <w:vertAlign w:val="superscript"/>
        </w:rPr>
        <w:t>2</w:t>
      </w:r>
      <w:r>
        <w:t>, &amp; Stephen M. Fleming</w:t>
      </w:r>
      <w:r>
        <w:rPr>
          <w:vertAlign w:val="superscript"/>
        </w:rPr>
        <w:t>1,2,3</w:t>
      </w:r>
    </w:p>
    <w:p w:rsidR="00963F2A" w:rsidRDefault="00FD1A5A">
      <w:pPr>
        <w:pStyle w:val="Author"/>
      </w:pPr>
      <w:r>
        <w:rPr>
          <w:vertAlign w:val="superscript"/>
        </w:rPr>
        <w:t>1</w:t>
      </w:r>
      <w:r>
        <w:t xml:space="preserve"> Wellcome Centre for Human Neuroimaging, UCL</w:t>
      </w:r>
    </w:p>
    <w:p w:rsidR="00963F2A" w:rsidRDefault="00FD1A5A">
      <w:pPr>
        <w:pStyle w:val="Author"/>
      </w:pPr>
      <w:r>
        <w:rPr>
          <w:vertAlign w:val="superscript"/>
        </w:rPr>
        <w:t>2</w:t>
      </w:r>
      <w:r>
        <w:t xml:space="preserve"> Max Planck UCL Centre for Computational Psychiatry and Ageing Research</w:t>
      </w:r>
    </w:p>
    <w:p w:rsidR="00963F2A" w:rsidRDefault="00FD1A5A">
      <w:pPr>
        <w:pStyle w:val="Author"/>
      </w:pPr>
      <w:r>
        <w:rPr>
          <w:vertAlign w:val="superscript"/>
        </w:rPr>
        <w:t>3</w:t>
      </w:r>
      <w:r>
        <w:t xml:space="preserve"> </w:t>
      </w:r>
      <w:r>
        <w:t>Department of Experimental Psychology, UCL</w:t>
      </w:r>
    </w:p>
    <w:p w:rsidR="00963F2A" w:rsidRDefault="00FD1A5A">
      <w:pPr>
        <w:pStyle w:val="Compact"/>
      </w:pPr>
      <w:r>
        <w:t>                                                                                                                                                    </w:t>
      </w:r>
    </w:p>
    <w:p w:rsidR="00963F2A" w:rsidRDefault="00FD1A5A">
      <w:pPr>
        <w:pStyle w:val="BodyText"/>
      </w:pPr>
      <w:r>
        <w:t> </w:t>
      </w:r>
    </w:p>
    <w:p w:rsidR="00963F2A" w:rsidRDefault="00FD1A5A">
      <w:pPr>
        <w:pStyle w:val="BodyText"/>
      </w:pPr>
      <w:r>
        <w:t> </w:t>
      </w:r>
    </w:p>
    <w:p w:rsidR="00963F2A" w:rsidRDefault="00FD1A5A">
      <w:pPr>
        <w:pStyle w:val="BodyText"/>
      </w:pPr>
      <w:r>
        <w:t> </w:t>
      </w:r>
    </w:p>
    <w:p w:rsidR="00963F2A" w:rsidRDefault="00FD1A5A">
      <w:pPr>
        <w:pStyle w:val="BodyText"/>
      </w:pPr>
      <w:r>
        <w:t> </w:t>
      </w:r>
    </w:p>
    <w:p w:rsidR="00963F2A" w:rsidRDefault="00FD1A5A">
      <w:pPr>
        <w:pStyle w:val="BodyText"/>
      </w:pPr>
      <w:r>
        <w:t> </w:t>
      </w:r>
    </w:p>
    <w:p w:rsidR="00963F2A" w:rsidRDefault="00FD1A5A">
      <w:pPr>
        <w:pStyle w:val="BodyText"/>
      </w:pPr>
      <w:r>
        <w:t> </w:t>
      </w:r>
    </w:p>
    <w:p w:rsidR="00963F2A" w:rsidRDefault="00FD1A5A">
      <w:pPr>
        <w:pStyle w:val="Author"/>
      </w:pPr>
      <w:r>
        <w:t>Author note</w:t>
      </w:r>
    </w:p>
    <w:p w:rsidR="00963F2A" w:rsidRDefault="00FD1A5A">
      <w:pPr>
        <w:pStyle w:val="BodyText"/>
      </w:pPr>
      <w:r>
        <w:t>Correspondence concerning this article s</w:t>
      </w:r>
      <w:r>
        <w:t xml:space="preserve">hould be addressed to Matan Mazor, 12 Queen Square, London WC1N 3BG. E-mail: </w:t>
      </w:r>
      <w:hyperlink r:id="rId7">
        <w:r>
          <w:rPr>
            <w:rStyle w:val="Hyperlink"/>
          </w:rPr>
          <w:t>mtnmzor@gmail.com</w:t>
        </w:r>
      </w:hyperlink>
    </w:p>
    <w:p w:rsidR="00963F2A" w:rsidRDefault="00FD1A5A">
      <w:pPr>
        <w:pStyle w:val="Title"/>
      </w:pPr>
      <w:r>
        <w:lastRenderedPageBreak/>
        <w:t>Abstract</w:t>
      </w:r>
    </w:p>
    <w:p w:rsidR="00963F2A" w:rsidRDefault="00FD1A5A">
      <w:pPr>
        <w:pStyle w:val="BodyText"/>
      </w:pPr>
      <w:r>
        <w:t>People generally find it more difficult to infer, represent, and attend to the absence of a stimulus or obje</w:t>
      </w:r>
      <w:r>
        <w:t xml:space="preserve">ct than its presence. Such asymmetries in the representation of absence are thought to arise from basic constraints on information processing – at any given moment, there are many more things that could be there (absences) than are there (presences), such </w:t>
      </w:r>
      <w:r>
        <w:t>that positively coding for the latter is more efficient. However, at what stage in the processing hierarchy such asymmetries in the representation of absences arise remains unknown. For instance, in visual search, the presence/absence asymmetry has been de</w:t>
      </w:r>
      <w:r>
        <w:t xml:space="preserve">monstrated not only for the presence or absence of entire objects, but also of specific stimulus features. In addition, presence/absence asymmetries are found not only for first-order tasks such as visual search, but also in metacognitive evaluation (with </w:t>
      </w:r>
      <w:r>
        <w:t>more accurate metacognition for decisions about presences than absences). Here we measure presence/absence asymmetries both across tasks (visual search and confidence judgments) and stimulus features, to ask whether asymmetries in the representation of abs</w:t>
      </w:r>
      <w:r>
        <w:t>ence arise from one or many sources.</w:t>
      </w:r>
    </w:p>
    <w:p w:rsidR="00963F2A" w:rsidRDefault="00963F2A">
      <w:pPr>
        <w:pStyle w:val="BodyText"/>
      </w:pPr>
    </w:p>
    <w:p w:rsidR="00963F2A" w:rsidRDefault="00FD1A5A">
      <w:pPr>
        <w:pStyle w:val="BodyText"/>
      </w:pPr>
      <w:r>
        <w:rPr>
          <w:i/>
        </w:rPr>
        <w:t>Keywords:</w:t>
      </w:r>
      <w:r>
        <w:t xml:space="preserve"> metacognition, visual search, attention</w:t>
      </w:r>
    </w:p>
    <w:p w:rsidR="00963F2A" w:rsidRDefault="00FD1A5A">
      <w:pPr>
        <w:pStyle w:val="BodyText"/>
      </w:pPr>
      <w:r>
        <w:rPr>
          <w:i/>
        </w:rPr>
        <w:t>Word count:</w:t>
      </w:r>
      <w:r>
        <w:t xml:space="preserve"> 4162</w:t>
      </w:r>
    </w:p>
    <w:p w:rsidR="00963F2A" w:rsidRDefault="00FD1A5A">
      <w:pPr>
        <w:pStyle w:val="Title"/>
      </w:pPr>
      <w:r>
        <w:lastRenderedPageBreak/>
        <w:t>Asymmetries in the representation of presence and absence</w:t>
      </w:r>
    </w:p>
    <w:p w:rsidR="00963F2A" w:rsidRDefault="00FD1A5A">
      <w:pPr>
        <w:pStyle w:val="Heading1"/>
      </w:pPr>
      <w:bookmarkStart w:id="1" w:name="introduction"/>
      <w:r>
        <w:t>Introduction</w:t>
      </w:r>
      <w:bookmarkEnd w:id="1"/>
    </w:p>
    <w:p w:rsidR="00963F2A" w:rsidRDefault="00FD1A5A">
      <w:pPr>
        <w:pStyle w:val="FirstParagraph"/>
      </w:pPr>
      <w:r>
        <w:t>At any given moment, there are many more things that are not there than things t</w:t>
      </w:r>
      <w:r>
        <w:t>hat are there. As a result, and in order to efficiently represent the environment, perceptual and cognitive systems have evolved to represent presences, and the absence of objects is implicitly represented as a default state (Oaksford, 2002; Oaksford &amp; Cha</w:t>
      </w:r>
      <w:r>
        <w:t>ter, 2001). One corollary of this is that presence can be inferred from bottom-up sensory signals, but absence is never explicitly represented in sensory channels and must instead by inferred based on top-down expectations about the likelihood of detecting</w:t>
      </w:r>
      <w:r>
        <w:t xml:space="preserve"> a hypothetical signal, had it been present. This form of higher-order inference-about-absence is known as </w:t>
      </w:r>
      <w:r>
        <w:rPr>
          <w:i/>
        </w:rPr>
        <w:t>argument from epistemic closure</w:t>
      </w:r>
      <w:r>
        <w:t xml:space="preserve">, or </w:t>
      </w:r>
      <w:r>
        <w:rPr>
          <w:i/>
        </w:rPr>
        <w:t>argument from self knowledge</w:t>
      </w:r>
      <w:r>
        <w:t xml:space="preserve"> (</w:t>
      </w:r>
      <w:r>
        <w:rPr>
          <w:i/>
        </w:rPr>
        <w:t>If it was true, I would have known it</w:t>
      </w:r>
      <w:r>
        <w:t>; Walton, 1992; De Cornulier, 1988).</w:t>
      </w:r>
    </w:p>
    <w:p w:rsidR="00963F2A" w:rsidRDefault="00FD1A5A">
      <w:pPr>
        <w:pStyle w:val="BodyText"/>
      </w:pPr>
      <w:r>
        <w:t>Experimen</w:t>
      </w:r>
      <w:r>
        <w:t>ts on human subjects accordingly suggest that representing the absence of things is more cognitively demanding than representing their presence, even in simple perceptual tasks. This is evident in slower reactions to stimulus absence than stimulus presence</w:t>
      </w:r>
      <w:r>
        <w:t xml:space="preserve"> in near-threshold visual detection (Mazor, Friston, &amp; Fleming, 2020), in a general difficulty to form associations with absence (Newman, Wolff, &amp; Hearst, 1980), and in the late acquisition of the explicit representation of absence in development (e.g., Sa</w:t>
      </w:r>
      <w:r>
        <w:t xml:space="preserve">insbury, 1971; Coldren &amp; Haaf, 2000; for a review on the representation of nothing see Hearst, 1991). In this study we focus on two asymmetries in the representation of presence and absence, which manifest at two extremities of the cognitive architecture: </w:t>
      </w:r>
      <w:r>
        <w:t>feature-level asymmetries in visual search, and metacognitive asymmetries in confidence judgments for near-threshold discrimination.</w:t>
      </w:r>
    </w:p>
    <w:p w:rsidR="00963F2A" w:rsidRDefault="00FD1A5A">
      <w:pPr>
        <w:pStyle w:val="BodyText"/>
      </w:pPr>
      <w:r>
        <w:lastRenderedPageBreak/>
        <w:t>In visual search, participants report whether a target stimulus appeared or not among distractor stimuli in a search array.</w:t>
      </w:r>
      <w:r>
        <w:t xml:space="preserve"> Participants typically take longer to identify the absence compared with the presence of a target (e.g., Wolfe, 1998). Furthermore, searching for an object that is marked by a distinguishing feature (for example, searching for a </w:t>
      </w:r>
      <w:r>
        <w:rPr>
          <w:i/>
        </w:rPr>
        <w:t>Q</w:t>
      </w:r>
      <w:r>
        <w:t xml:space="preserve"> among </w:t>
      </w:r>
      <w:r>
        <w:rPr>
          <w:i/>
        </w:rPr>
        <w:t>O</w:t>
      </w:r>
      <w:r>
        <w:t>s) is more effici</w:t>
      </w:r>
      <w:r>
        <w:t xml:space="preserve">ent than searching for an object that is marked by the absence of a distinguishing feature (searching for an </w:t>
      </w:r>
      <w:r>
        <w:rPr>
          <w:i/>
        </w:rPr>
        <w:t>O</w:t>
      </w:r>
      <w:r>
        <w:t xml:space="preserve"> among </w:t>
      </w:r>
      <w:r>
        <w:rPr>
          <w:i/>
        </w:rPr>
        <w:t>Q</w:t>
      </w:r>
      <w:r>
        <w:t>s; Treisman &amp; Souther, 1985). This asymmetry at the feature level is evident across both target-present and target-absent trials. In the m</w:t>
      </w:r>
      <w:r>
        <w:t>etacognitive domain, subjective confidence ratings are commonly lower and less reliable for inference about absence, compared to presence (Kanai, Walsh, &amp; Tseng, 2010; Kellij, Fahrenfort, Lau, Peters, &amp; Odegaard, 2018; Meuwese, Loon, Lamme, &amp; Fahrenfort, 2</w:t>
      </w:r>
      <w:r>
        <w:t>014). Importantly, and in contrast with the visual search benefit for object and feature presence, here the presence/absence asymmetry manifests at the metacognitive evaluation of the decision, instead of the decision itself (see Fig. 1).</w:t>
      </w:r>
    </w:p>
    <w:p w:rsidR="00963F2A" w:rsidRDefault="00FD1A5A">
      <w:pPr>
        <w:pStyle w:val="CaptionedFigure"/>
      </w:pPr>
      <w:r>
        <w:rPr>
          <w:noProof/>
          <w:lang w:bidi="he-IL"/>
        </w:rPr>
        <w:lastRenderedPageBreak/>
        <w:drawing>
          <wp:inline distT="0" distB="0" distL="0" distR="0">
            <wp:extent cx="5969000" cy="6965575"/>
            <wp:effectExtent l="0" t="0" r="0" b="0"/>
            <wp:docPr id="1" name="Picture" descr="Figure 1:.  Top panel: in visual detection, subjective confidence ratings following judgments about target absence are typically lower, and less correlated with objective accuracy than following judgments about target presence. This metacognitive asymmetry manifests as lower area under the response-conditional ROC curve for ‘yes’ responses (blue) compared with ‘no’ responses (red). Lower panel: in visual search, search times are typically slower (and search time/set size slopes shallower) for target absent trials, compared with target present trials. Search time is also slower when searching for a target that is marked by the absence, rather than presence, of a distinguishing feature (for example, searching for an O among Q’s)"/>
            <wp:cNvGraphicFramePr/>
            <a:graphic xmlns:a="http://schemas.openxmlformats.org/drawingml/2006/main">
              <a:graphicData uri="http://schemas.openxmlformats.org/drawingml/2006/picture">
                <pic:pic xmlns:pic="http://schemas.openxmlformats.org/drawingml/2006/picture">
                  <pic:nvPicPr>
                    <pic:cNvPr id="0" name="Picture" descr="figures/asymmetries.png"/>
                    <pic:cNvPicPr>
                      <a:picLocks noChangeAspect="1" noChangeArrowheads="1"/>
                    </pic:cNvPicPr>
                  </pic:nvPicPr>
                  <pic:blipFill>
                    <a:blip r:embed="rId8"/>
                    <a:stretch>
                      <a:fillRect/>
                    </a:stretch>
                  </pic:blipFill>
                  <pic:spPr bwMode="auto">
                    <a:xfrm>
                      <a:off x="0" y="0"/>
                      <a:ext cx="5969000" cy="6965575"/>
                    </a:xfrm>
                    <a:prstGeom prst="rect">
                      <a:avLst/>
                    </a:prstGeom>
                    <a:noFill/>
                    <a:ln w="9525">
                      <a:noFill/>
                      <a:headEnd/>
                      <a:tailEnd/>
                    </a:ln>
                  </pic:spPr>
                </pic:pic>
              </a:graphicData>
            </a:graphic>
          </wp:inline>
        </w:drawing>
      </w:r>
    </w:p>
    <w:p w:rsidR="00963F2A" w:rsidRPr="00D0277C" w:rsidRDefault="00FD1A5A">
      <w:pPr>
        <w:pStyle w:val="ImageCaption"/>
        <w:rPr>
          <w:rFonts w:asciiTheme="majorHAnsi" w:hAnsiTheme="majorHAnsi" w:cstheme="majorHAnsi"/>
          <w:sz w:val="22"/>
          <w:szCs w:val="22"/>
        </w:rPr>
      </w:pPr>
      <w:r w:rsidRPr="00D0277C">
        <w:rPr>
          <w:rFonts w:asciiTheme="majorHAnsi" w:hAnsiTheme="majorHAnsi" w:cstheme="majorHAnsi"/>
          <w:i/>
          <w:sz w:val="22"/>
          <w:szCs w:val="22"/>
        </w:rPr>
        <w:t>Figure</w:t>
      </w:r>
      <w:r w:rsidRPr="00D0277C">
        <w:rPr>
          <w:rFonts w:asciiTheme="majorHAnsi" w:hAnsiTheme="majorHAnsi" w:cstheme="majorHAnsi"/>
          <w:sz w:val="22"/>
          <w:szCs w:val="22"/>
        </w:rPr>
        <w:t xml:space="preserve"> </w:t>
      </w:r>
      <w:r w:rsidRPr="00D0277C">
        <w:rPr>
          <w:rFonts w:asciiTheme="majorHAnsi" w:hAnsiTheme="majorHAnsi" w:cstheme="majorHAnsi"/>
          <w:i/>
          <w:sz w:val="22"/>
          <w:szCs w:val="22"/>
        </w:rPr>
        <w:t>1:</w:t>
      </w:r>
      <w:r w:rsidRPr="00D0277C">
        <w:rPr>
          <w:rFonts w:asciiTheme="majorHAnsi" w:hAnsiTheme="majorHAnsi" w:cstheme="majorHAnsi"/>
          <w:sz w:val="22"/>
          <w:szCs w:val="22"/>
        </w:rPr>
        <w:t>.  Top</w:t>
      </w:r>
      <w:r w:rsidRPr="00D0277C">
        <w:rPr>
          <w:rFonts w:asciiTheme="majorHAnsi" w:hAnsiTheme="majorHAnsi" w:cstheme="majorHAnsi"/>
          <w:sz w:val="22"/>
          <w:szCs w:val="22"/>
        </w:rPr>
        <w:t xml:space="preserve"> panel: in visual detection, subjective confidence ratings following judgments about target absence are typically lower, and less correlated with objective accuracy than following judgments about target presence. This metacognitive asymmetry manifests as l</w:t>
      </w:r>
      <w:r w:rsidRPr="00D0277C">
        <w:rPr>
          <w:rFonts w:asciiTheme="majorHAnsi" w:hAnsiTheme="majorHAnsi" w:cstheme="majorHAnsi"/>
          <w:sz w:val="22"/>
          <w:szCs w:val="22"/>
        </w:rPr>
        <w:t xml:space="preserve">ower area under the response-conditional </w:t>
      </w:r>
      <w:r w:rsidRPr="00D0277C">
        <w:rPr>
          <w:rFonts w:asciiTheme="majorHAnsi" w:hAnsiTheme="majorHAnsi" w:cstheme="majorHAnsi"/>
          <w:sz w:val="22"/>
          <w:szCs w:val="22"/>
        </w:rPr>
        <w:lastRenderedPageBreak/>
        <w:t>ROC curve for ‘yes’ responses (blue) compared with ‘no’ responses (red). Lower panel: in visual search, search times are typically slower (and search time/set size slopes shallower) for target absent trials, compare</w:t>
      </w:r>
      <w:r w:rsidRPr="00D0277C">
        <w:rPr>
          <w:rFonts w:asciiTheme="majorHAnsi" w:hAnsiTheme="majorHAnsi" w:cstheme="majorHAnsi"/>
          <w:sz w:val="22"/>
          <w:szCs w:val="22"/>
        </w:rPr>
        <w:t>d with target present trials. Search time is also slower when searching for a target that is marked by the absence, rather than presence, of a distinguishing feature (for example, searching for an O among Q’s)</w:t>
      </w:r>
    </w:p>
    <w:p w:rsidR="00963F2A" w:rsidRDefault="00FD1A5A">
      <w:pPr>
        <w:pStyle w:val="BodyText"/>
      </w:pPr>
      <w:r>
        <w:t>These perceptual and cognitive presence/absenc</w:t>
      </w:r>
      <w:r>
        <w:t>e asymmetries may reflect a profound, common asymmetry in the cognitive representational space, or alternatively a mixture of apparently similar but cognitively unrelated psychological effects. Although such asymmetries are consistently observed across tas</w:t>
      </w:r>
      <w:r>
        <w:t>ks and stimulus features, to date no systematic attempt has been made to investigate whether these similar effects share a common underlying mechanism, or not. Furthermore, it remains a theoretical conjecture whether the presence/absence asymmetry is one i</w:t>
      </w:r>
      <w:r>
        <w:t>nstance of a more general perceptual and cognitive asymmetry between default and deviating states in a default-reasoning framework, where absence is only one among many aspects of the default state. Here we take a first step toward answering these two ques</w:t>
      </w:r>
      <w:r>
        <w:t>tions by testing the generality of a family of well-documented presence/absence asymmetries both across tasks (visual search and metacognitive evaluations of discrimination judgments), and across representation levels. To achieve this, we make use of the f</w:t>
      </w:r>
      <w:r>
        <w:t xml:space="preserve">act that visual search asymmetries are not limited to the presence or absence of local stimulus features like the line that distinguishes a </w:t>
      </w:r>
      <w:r>
        <w:rPr>
          <w:i/>
        </w:rPr>
        <w:t>Q</w:t>
      </w:r>
      <w:r>
        <w:t xml:space="preserve"> from an </w:t>
      </w:r>
      <w:r>
        <w:rPr>
          <w:i/>
        </w:rPr>
        <w:t>O</w:t>
      </w:r>
      <w:r>
        <w:t>, but are observed for a variety of stimulus pairs, which differ by the presence or absence of a local st</w:t>
      </w:r>
      <w:r>
        <w:t>imulus features, a global stimulus features, or by a deviation from an expected default state.</w:t>
      </w:r>
    </w:p>
    <w:p w:rsidR="00963F2A" w:rsidRDefault="00FD1A5A">
      <w:pPr>
        <w:pStyle w:val="BodyText"/>
      </w:pPr>
      <w:r>
        <w:t xml:space="preserve">The visual search literature is rich in reports of </w:t>
      </w:r>
      <w:r>
        <w:rPr>
          <w:i/>
        </w:rPr>
        <w:t>search asymmetries</w:t>
      </w:r>
      <w:r>
        <w:t xml:space="preserve">, whereby finding a target stimulus among distractors is more efficient that when targets and distractors flip their role. </w:t>
      </w:r>
      <w:r>
        <w:lastRenderedPageBreak/>
        <w:t xml:space="preserve">Search asymmetries emerge in stimulus pairs that differ by the presence or absence of a stimulus feature. These features can be </w:t>
      </w:r>
      <w:r>
        <w:rPr>
          <w:i/>
        </w:rPr>
        <w:t>local</w:t>
      </w:r>
      <w:r>
        <w:t xml:space="preserve"> (such as in the </w:t>
      </w:r>
      <w:r>
        <w:rPr>
          <w:i/>
        </w:rPr>
        <w:t>Q</w:t>
      </w:r>
      <w:r>
        <w:t xml:space="preserve"> and </w:t>
      </w:r>
      <w:r>
        <w:rPr>
          <w:i/>
        </w:rPr>
        <w:t>O</w:t>
      </w:r>
      <w:r>
        <w:t xml:space="preserve"> example describe above), or </w:t>
      </w:r>
      <w:r>
        <w:rPr>
          <w:i/>
        </w:rPr>
        <w:t>global</w:t>
      </w:r>
      <w:r>
        <w:t xml:space="preserve"> (like in the case of tilt or curvature; Treisman &amp; Gormican, 1988). Unlike the line that separates a </w:t>
      </w:r>
      <w:r>
        <w:rPr>
          <w:i/>
        </w:rPr>
        <w:t>Q</w:t>
      </w:r>
      <w:r>
        <w:t xml:space="preserve"> from an </w:t>
      </w:r>
      <w:r>
        <w:rPr>
          <w:i/>
        </w:rPr>
        <w:t>O</w:t>
      </w:r>
      <w:r>
        <w:t>, which is present at a specific location in relation to the stimulus, tilt and curv</w:t>
      </w:r>
      <w:r>
        <w:t>ature are global spatial features, and their presence or absence affects the stimulus as a whole. In addition to search asymmetry for local and global stimulus features, cases of search asymmetry for familiar and unfamiliar objects (with a search time bene</w:t>
      </w:r>
      <w:r>
        <w:t>fit for an unfamiliar target) support an even more general, non-spatial interpretation, in which asymmetries reflect the more efficient processing of a deviation from a default state than the processing of a default-complying signal. For example, searching</w:t>
      </w:r>
      <w:r>
        <w:t xml:space="preserve"> for an inverted letter among canonically presented letters and searching for a upward-tilted cube among downward-tilted cubes are easier than the inverse searches, in line with a general expectation to see letters in their canonical form, and objects on t</w:t>
      </w:r>
      <w:r>
        <w:t>he ground rather than floating in space (Frith, 1974; Von Grünau &amp; Dubé, 1994; Wang, Cavanagh, &amp; Green, 1994). Here, the presence and absence are not of a spatial stimulus feature, but of a more abstract deviation from the expected default state, which can</w:t>
      </w:r>
      <w:r>
        <w:t xml:space="preserve"> be based on experience and contextual expectations.</w:t>
      </w:r>
    </w:p>
    <w:p w:rsidR="00963F2A" w:rsidRDefault="00FD1A5A">
      <w:pPr>
        <w:pStyle w:val="BodyText"/>
      </w:pPr>
      <w:r>
        <w:t>That search asymmetries are observed for more abstract stimulus features may place the presence/absence asymmetry within a broader default-reasoning framework with enhanced processing of deviating, compa</w:t>
      </w:r>
      <w:r>
        <w:t>red to default-complying signals, and where object absence is assumed as default. According to this interpretation, cognitive domains in which an asymmetry is observed between object presence and absence should show a similar asymmetry for feature presence</w:t>
      </w:r>
      <w:r>
        <w:t xml:space="preserve"> and absence, and for unfamiliar and familiar stimuli. Alternatively, feature-level search asymmetries may not at all be related to the overarching cognitive asymmetry between presence and absence, and mark instead the behavioural signature of an independe</w:t>
      </w:r>
      <w:r>
        <w:t xml:space="preserve">nt process. These two </w:t>
      </w:r>
      <w:r>
        <w:lastRenderedPageBreak/>
        <w:t>options, and the gradient of alternatives between them, entail different prdictions about which of those asymmetries is expected to generalize to other tasks and cognitive domains, and which is expected to be specific to visual search</w:t>
      </w:r>
      <w:r>
        <w:t>. To test the generality of these effects, here we ask whether similar asymmetries will be evident in a different cognitive domain where presence/absence asymmetry has been documented at the object level: metacognition for near-threshold visual detection j</w:t>
      </w:r>
      <w:r>
        <w:t>udgments. In near-threshold detection, participants report whether a single faint target stimulus appeared, or not. When asked to rate their subjective confidence after making detection decisions, subjective confidence ratings following ‘target absent’ jud</w:t>
      </w:r>
      <w:r>
        <w:t>gments are commonly lower, and less correlated with objective accuracy, than following ‘target present’ judgments (Kanai et al., 2010; Kellij et al., 2018; Mazor et al., 2020; Meuwese et al., 2014). Importantly for our study, metacognitive asymmetry manife</w:t>
      </w:r>
      <w:r>
        <w:t>sts in confidence-judgments rather than reaction times, and is not observed for discrimination judgments about the identity of the stimulus, where evidence can be available in support of both responses (e.g., Meuwese et al., 2014; Mazor et al., 2020). In t</w:t>
      </w:r>
      <w:r>
        <w:t>his study, we utilize these two facts in our use of metacognitive asymmetry as a marker for the generality of feature-level asymmetries across cognitive faculties.</w:t>
      </w:r>
    </w:p>
    <w:p w:rsidR="00963F2A" w:rsidRDefault="00FD1A5A">
      <w:pPr>
        <w:pStyle w:val="BodyText"/>
      </w:pPr>
      <w:r>
        <w:t>Different patterns of results could lead to different interpretations of the structure of ab</w:t>
      </w:r>
      <w:r>
        <w:t>sence representations. At one end of the spectrum, a complete alignment of metacognitive and search asymmetries across all six stimulus pairs and across participants would indicate a domain-general interpretation of the presence/absence asymmetry. At the o</w:t>
      </w:r>
      <w:r>
        <w:t>ther end of the spectrum, metacognitive asymmetries may be restricted to object-level presence and absence, with a symmetric pattern of metacognitive sensitivity for all of our stimulus pairs. Intermediate patterns may extend the search asymmetry to the me</w:t>
      </w:r>
      <w:r>
        <w:t xml:space="preserve">tacognitive domain only for local stimulus features, or for spatial (local or global) stimulus features but not to default-compliance asymmetries, </w:t>
      </w:r>
      <w:r>
        <w:lastRenderedPageBreak/>
        <w:t>suggesting that the presence/absence asymmetry cannot be fully reduced to default-state reasoning.</w:t>
      </w:r>
    </w:p>
    <w:p w:rsidR="00963F2A" w:rsidRDefault="00FD1A5A">
      <w:pPr>
        <w:pStyle w:val="Heading1"/>
      </w:pPr>
      <w:bookmarkStart w:id="2" w:name="methods"/>
      <w:r>
        <w:t>Methods</w:t>
      </w:r>
      <w:bookmarkEnd w:id="2"/>
    </w:p>
    <w:p w:rsidR="00963F2A" w:rsidRDefault="00FD1A5A">
      <w:pPr>
        <w:pStyle w:val="FirstParagraph"/>
      </w:pPr>
      <w:r>
        <w:t>We</w:t>
      </w:r>
      <w:r>
        <w:t xml:space="preserve"> report how we determined our sample size, all data exclusions (if any), all manipulations, and all measures in the study. </w:t>
      </w:r>
    </w:p>
    <w:p w:rsidR="00963F2A" w:rsidRDefault="00FD1A5A">
      <w:pPr>
        <w:pStyle w:val="Heading2"/>
      </w:pPr>
      <w:bookmarkStart w:id="3" w:name="participants"/>
      <w:r>
        <w:t>Participants</w:t>
      </w:r>
      <w:bookmarkEnd w:id="3"/>
    </w:p>
    <w:p w:rsidR="00963F2A" w:rsidRDefault="00FD1A5A">
      <w:pPr>
        <w:pStyle w:val="FirstParagraph"/>
      </w:pPr>
      <w:r>
        <w:t>The research complies with all relevant ethical regulations, and was approved by the Research Ethics Committee of Unive</w:t>
      </w:r>
      <w:r>
        <w:t>rsity College London (study ID number 1260/003). Participants will be recruited via Prolific, and will give informed consent prior to their participation. They will be selected based on their acceptance rate (&gt;95%) and for being native English speakers. Fo</w:t>
      </w:r>
      <w:r>
        <w:t>r each of the six experiments, we will collect data until we reach 320 included participants (after applying our pre-registered exclusion criteria). The entire experiment will take 15 minutes to complete (median completion time in our pilot data: 13.5 minu</w:t>
      </w:r>
      <w:r>
        <w:t>tes). Participants will be paid £2 for their participation, equivalent to an hourly wage of £8.</w:t>
      </w:r>
    </w:p>
    <w:p w:rsidR="00963F2A" w:rsidRDefault="00FD1A5A">
      <w:pPr>
        <w:pStyle w:val="Heading2"/>
      </w:pPr>
      <w:bookmarkStart w:id="4" w:name="procedure"/>
      <w:r>
        <w:t>Procedure</w:t>
      </w:r>
      <w:bookmarkEnd w:id="4"/>
    </w:p>
    <w:p w:rsidR="00963F2A" w:rsidRDefault="00FD1A5A">
      <w:pPr>
        <w:pStyle w:val="FirstParagraph"/>
      </w:pPr>
      <w:r>
        <w:t>Experiments will be identical, except for the identity of the target and distractor stimuli. In what follows we will describe the procedure for the st</w:t>
      </w:r>
      <w:r>
        <w:t>imulus pair ‘</w:t>
      </w:r>
      <w:r>
        <w:rPr>
          <w:i/>
        </w:rPr>
        <w:t>Q</w:t>
      </w:r>
      <w:r>
        <w:t>’ and ‘</w:t>
      </w:r>
      <w:r>
        <w:rPr>
          <w:i/>
        </w:rPr>
        <w:t>O</w:t>
      </w:r>
      <w:r>
        <w:t xml:space="preserve">’. Experiments were programmed using the jsPsych and P5 JavaScript packages (De Leeuw, 2015; McCarthy, 2015), and hosted on a JATOS server (Lange, Kühn, &amp; Filevich, 2015). The full Experiment as delivered to participants is available </w:t>
      </w:r>
      <w:r>
        <w:t xml:space="preserve">here: </w:t>
      </w:r>
      <w:hyperlink r:id="rId9">
        <w:r>
          <w:rPr>
            <w:rStyle w:val="Hyperlink"/>
          </w:rPr>
          <w:t>http://167.99.93.4/publix/13/start?batchId=45&amp;generalMultiple</w:t>
        </w:r>
      </w:hyperlink>
      <w:r>
        <w:t>.</w:t>
      </w:r>
    </w:p>
    <w:p w:rsidR="00963F2A" w:rsidRDefault="00FD1A5A">
      <w:pPr>
        <w:pStyle w:val="BodyText"/>
      </w:pPr>
      <w:r>
        <w:lastRenderedPageBreak/>
        <w:t>The Experiment will comprise three parts (“challenges”) presented in pseudorandomized order.</w:t>
      </w:r>
    </w:p>
    <w:p w:rsidR="00963F2A" w:rsidRDefault="00FD1A5A">
      <w:pPr>
        <w:numPr>
          <w:ilvl w:val="0"/>
          <w:numId w:val="15"/>
        </w:numPr>
      </w:pPr>
      <w:r>
        <w:t>The first par</w:t>
      </w:r>
      <w:r>
        <w:t>t will comprise 32 visual search trials. In these trials participants will search for one ‘</w:t>
      </w:r>
      <w:r>
        <w:rPr>
          <w:i/>
        </w:rPr>
        <w:t>Q</w:t>
      </w:r>
      <w:r>
        <w:t>’ in an array of 1, 2, 4 or 8 ‘</w:t>
      </w:r>
      <w:r>
        <w:rPr>
          <w:i/>
        </w:rPr>
        <w:t>O</w:t>
      </w:r>
      <w:r>
        <w:t>’ distractors. The target stimulus will be present in half of the trials, and absent in the other half. Participants will be instruc</w:t>
      </w:r>
      <w:r>
        <w:t>ted to use their keyboard to indicate whether the target was present (press J) or absent (press F) as quickly and accurately as possible. Each trial will start with an instruction screen, indicating the search target (500-1000 ms), followed by the presenta</w:t>
      </w:r>
      <w:r>
        <w:t xml:space="preserve">tion of the search array. The search array will remain visible until a response is recorded. Feedback about accuracy will be delivered. To motivate accurate responses, the feedback screen will remain for 1000 ms following correct responses and for 4000 ms </w:t>
      </w:r>
      <w:r>
        <w:t xml:space="preserve">following incorrect responses. The visual search block will start with four practice trials of distractor set-size 4 that will not be included in the final analysis. The actual block of 32 trials (4 trials of each set size, presented in random order) will </w:t>
      </w:r>
      <w:r>
        <w:t>start once all four practice trials are answered correctly, otherwise additional practice trials will be delivered.</w:t>
      </w:r>
    </w:p>
    <w:p w:rsidR="00963F2A" w:rsidRDefault="00FD1A5A">
      <w:pPr>
        <w:numPr>
          <w:ilvl w:val="0"/>
          <w:numId w:val="15"/>
        </w:numPr>
      </w:pPr>
      <w:r>
        <w:t>The second part will be identical to the first part, except for the identity of the target stimulus. Here ‘</w:t>
      </w:r>
      <w:r>
        <w:rPr>
          <w:i/>
        </w:rPr>
        <w:t>O</w:t>
      </w:r>
      <w:r>
        <w:t>’ will server as target and ‘</w:t>
      </w:r>
      <w:r>
        <w:rPr>
          <w:i/>
        </w:rPr>
        <w:t>Q</w:t>
      </w:r>
      <w:r>
        <w:t xml:space="preserve">’ </w:t>
      </w:r>
      <w:r>
        <w:t>as distractor.</w:t>
      </w:r>
    </w:p>
    <w:p w:rsidR="00963F2A" w:rsidRDefault="00FD1A5A">
      <w:pPr>
        <w:numPr>
          <w:ilvl w:val="0"/>
          <w:numId w:val="15"/>
        </w:numPr>
      </w:pPr>
      <w:r>
        <w:t xml:space="preserve">In the third part, participants will make discrimination judgments between masked </w:t>
      </w:r>
      <w:r>
        <w:rPr>
          <w:i/>
        </w:rPr>
        <w:t>Q</w:t>
      </w:r>
      <w:r>
        <w:t xml:space="preserve"> and </w:t>
      </w:r>
      <w:r>
        <w:rPr>
          <w:i/>
        </w:rPr>
        <w:t>O</w:t>
      </w:r>
      <w:r>
        <w:t xml:space="preserve"> stimuli, and rate their subjective decision confidence on a continuous scale. After a fixation cross (500 ms), the target stimulus will be presented in</w:t>
      </w:r>
      <w:r>
        <w:t xml:space="preserve"> the center of the screen for 50 ms, followed by a mask (100 ms). Stimulus onset asynchrony will be calibrated online in a 1-up-2-down procedure (Levitt, 1971), with a multiplicative step factor of 0.9, and starting from 30 milliseconds. Participants will </w:t>
      </w:r>
      <w:r>
        <w:t xml:space="preserve">then use their keyboard to make a discrimination </w:t>
      </w:r>
      <w:r>
        <w:lastRenderedPageBreak/>
        <w:t>judgment. Following their response, subjective confidence ratings will be given on an analog scale by controlling the size of a colored circle with the computer mouse. High confidence will be mapped to a big</w:t>
      </w:r>
      <w:r>
        <w:t>, blue circle, and low confidence to a small, red circle. The confidence rating phase will terminate once participants click their mouse, but not before 2000 ms. No feedback will be delivered about accuracy.</w:t>
      </w:r>
    </w:p>
    <w:p w:rsidR="00963F2A" w:rsidRDefault="00FD1A5A">
      <w:pPr>
        <w:pStyle w:val="CaptionedFigure"/>
      </w:pPr>
      <w:r>
        <w:rPr>
          <w:noProof/>
          <w:lang w:bidi="he-IL"/>
        </w:rPr>
        <w:drawing>
          <wp:inline distT="0" distB="0" distL="0" distR="0">
            <wp:extent cx="5969000" cy="4739762"/>
            <wp:effectExtent l="0" t="0" r="0" b="0"/>
            <wp:docPr id="2" name="Picture" descr="Figure 2:.  Experiment structure. Three experimental parts will be delivered in pseudorandomized order: a discrimination task with subjective confidence ratings, and two visual search tasks with different distractor/target assignments. Asymmetry effects will be tested for six stimulus features in six separate experiments."/>
            <wp:cNvGraphicFramePr/>
            <a:graphic xmlns:a="http://schemas.openxmlformats.org/drawingml/2006/main">
              <a:graphicData uri="http://schemas.openxmlformats.org/drawingml/2006/picture">
                <pic:pic xmlns:pic="http://schemas.openxmlformats.org/drawingml/2006/picture">
                  <pic:nvPicPr>
                    <pic:cNvPr id="0" name="Picture" descr="figures/trial_structure.png"/>
                    <pic:cNvPicPr>
                      <a:picLocks noChangeAspect="1" noChangeArrowheads="1"/>
                    </pic:cNvPicPr>
                  </pic:nvPicPr>
                  <pic:blipFill>
                    <a:blip r:embed="rId10"/>
                    <a:stretch>
                      <a:fillRect/>
                    </a:stretch>
                  </pic:blipFill>
                  <pic:spPr bwMode="auto">
                    <a:xfrm>
                      <a:off x="0" y="0"/>
                      <a:ext cx="5969000" cy="4739762"/>
                    </a:xfrm>
                    <a:prstGeom prst="rect">
                      <a:avLst/>
                    </a:prstGeom>
                    <a:noFill/>
                    <a:ln w="9525">
                      <a:noFill/>
                      <a:headEnd/>
                      <a:tailEnd/>
                    </a:ln>
                  </pic:spPr>
                </pic:pic>
              </a:graphicData>
            </a:graphic>
          </wp:inline>
        </w:drawing>
      </w:r>
    </w:p>
    <w:p w:rsidR="00963F2A" w:rsidRPr="00D0277C" w:rsidRDefault="00FD1A5A">
      <w:pPr>
        <w:pStyle w:val="ImageCaption"/>
        <w:rPr>
          <w:rFonts w:asciiTheme="majorHAnsi" w:hAnsiTheme="majorHAnsi" w:cstheme="majorHAnsi"/>
          <w:sz w:val="22"/>
          <w:szCs w:val="22"/>
        </w:rPr>
      </w:pPr>
      <w:r w:rsidRPr="00D0277C">
        <w:rPr>
          <w:rFonts w:asciiTheme="majorHAnsi" w:hAnsiTheme="majorHAnsi" w:cstheme="majorHAnsi"/>
          <w:i/>
          <w:sz w:val="22"/>
          <w:szCs w:val="22"/>
        </w:rPr>
        <w:t>Figure</w:t>
      </w:r>
      <w:r w:rsidRPr="00D0277C">
        <w:rPr>
          <w:rFonts w:asciiTheme="majorHAnsi" w:hAnsiTheme="majorHAnsi" w:cstheme="majorHAnsi"/>
          <w:sz w:val="22"/>
          <w:szCs w:val="22"/>
        </w:rPr>
        <w:t xml:space="preserve"> </w:t>
      </w:r>
      <w:r w:rsidRPr="00D0277C">
        <w:rPr>
          <w:rFonts w:asciiTheme="majorHAnsi" w:hAnsiTheme="majorHAnsi" w:cstheme="majorHAnsi"/>
          <w:i/>
          <w:sz w:val="22"/>
          <w:szCs w:val="22"/>
        </w:rPr>
        <w:t>2:</w:t>
      </w:r>
      <w:r w:rsidRPr="00D0277C">
        <w:rPr>
          <w:rFonts w:asciiTheme="majorHAnsi" w:hAnsiTheme="majorHAnsi" w:cstheme="majorHAnsi"/>
          <w:sz w:val="22"/>
          <w:szCs w:val="22"/>
        </w:rPr>
        <w:t>.  Experiment structure. Three experi</w:t>
      </w:r>
      <w:r w:rsidRPr="00D0277C">
        <w:rPr>
          <w:rFonts w:asciiTheme="majorHAnsi" w:hAnsiTheme="majorHAnsi" w:cstheme="majorHAnsi"/>
          <w:sz w:val="22"/>
          <w:szCs w:val="22"/>
        </w:rPr>
        <w:t xml:space="preserve">mental parts will be delivered in pseudorandomized order: a discrimination task with subjective confidence ratings, and two visual search tasks with different distractor/target assignments. Asymmetry effects will be tested for six stimulus features in six </w:t>
      </w:r>
      <w:r w:rsidRPr="00D0277C">
        <w:rPr>
          <w:rFonts w:asciiTheme="majorHAnsi" w:hAnsiTheme="majorHAnsi" w:cstheme="majorHAnsi"/>
          <w:sz w:val="22"/>
          <w:szCs w:val="22"/>
        </w:rPr>
        <w:t>separate experiments.</w:t>
      </w:r>
    </w:p>
    <w:p w:rsidR="00963F2A" w:rsidRDefault="00FD1A5A">
      <w:pPr>
        <w:pStyle w:val="BodyText"/>
      </w:pPr>
      <w:r>
        <w:lastRenderedPageBreak/>
        <w:t>We will test the following stimulus features in separate experiments with different participants (Fig. 2):</w:t>
      </w:r>
    </w:p>
    <w:p w:rsidR="00963F2A" w:rsidRDefault="00FD1A5A">
      <w:pPr>
        <w:pStyle w:val="Compact"/>
        <w:numPr>
          <w:ilvl w:val="0"/>
          <w:numId w:val="16"/>
        </w:numPr>
      </w:pPr>
      <w:r>
        <w:rPr>
          <w:b/>
        </w:rPr>
        <w:t>Local feature: Addition of a stimulus part</w:t>
      </w:r>
      <w:r>
        <w:t xml:space="preserve">. </w:t>
      </w:r>
      <w:r>
        <w:rPr>
          <w:i/>
        </w:rPr>
        <w:t>Q</w:t>
      </w:r>
      <w:r>
        <w:t xml:space="preserve"> and </w:t>
      </w:r>
      <w:r>
        <w:rPr>
          <w:i/>
        </w:rPr>
        <w:t>O</w:t>
      </w:r>
      <w:r>
        <w:t xml:space="preserve"> will be used as stimuli (Treisman &amp; Souther, 1985).</w:t>
      </w:r>
    </w:p>
    <w:p w:rsidR="00963F2A" w:rsidRDefault="00FD1A5A">
      <w:pPr>
        <w:pStyle w:val="Compact"/>
        <w:numPr>
          <w:ilvl w:val="0"/>
          <w:numId w:val="16"/>
        </w:numPr>
      </w:pPr>
      <w:r>
        <w:rPr>
          <w:b/>
        </w:rPr>
        <w:t>Local feature: Open end</w:t>
      </w:r>
      <w:r>
        <w:rPr>
          <w:b/>
        </w:rPr>
        <w:t>s</w:t>
      </w:r>
      <w:r>
        <w:t xml:space="preserve">. </w:t>
      </w:r>
      <w:r>
        <w:rPr>
          <w:i/>
        </w:rPr>
        <w:t>C</w:t>
      </w:r>
      <w:r>
        <w:t xml:space="preserve"> and </w:t>
      </w:r>
      <w:r>
        <w:rPr>
          <w:i/>
        </w:rPr>
        <w:t>O</w:t>
      </w:r>
      <w:r>
        <w:t xml:space="preserve"> will be used as stimuli (Takeda &amp; Yagi, 2000; Treisman &amp; Gormican, 1988; Treisman &amp; Souther, 1985).</w:t>
      </w:r>
    </w:p>
    <w:p w:rsidR="00963F2A" w:rsidRDefault="00FD1A5A">
      <w:pPr>
        <w:pStyle w:val="Compact"/>
        <w:numPr>
          <w:ilvl w:val="0"/>
          <w:numId w:val="16"/>
        </w:numPr>
      </w:pPr>
      <w:r>
        <w:rPr>
          <w:b/>
        </w:rPr>
        <w:t>Global feature: Curvature</w:t>
      </w:r>
      <w:r>
        <w:t>. Straight and curved lines will be used as stimuli (Treisman &amp; Gormican, 1988).</w:t>
      </w:r>
    </w:p>
    <w:p w:rsidR="00963F2A" w:rsidRDefault="00FD1A5A">
      <w:pPr>
        <w:pStyle w:val="Compact"/>
        <w:numPr>
          <w:ilvl w:val="0"/>
          <w:numId w:val="16"/>
        </w:numPr>
      </w:pPr>
      <w:r>
        <w:rPr>
          <w:b/>
        </w:rPr>
        <w:t>Global feature: Orientation</w:t>
      </w:r>
      <w:r>
        <w:t>. Vertical a</w:t>
      </w:r>
      <w:r>
        <w:t>nd tilted lines will be used as stimuli (Treisman &amp; Gormican, 1988).</w:t>
      </w:r>
    </w:p>
    <w:p w:rsidR="00963F2A" w:rsidRDefault="00FD1A5A">
      <w:pPr>
        <w:pStyle w:val="Compact"/>
        <w:numPr>
          <w:ilvl w:val="0"/>
          <w:numId w:val="16"/>
        </w:numPr>
      </w:pPr>
      <w:r>
        <w:rPr>
          <w:b/>
        </w:rPr>
        <w:t>Default compliance: Letter inversion</w:t>
      </w:r>
      <w:r>
        <w:t xml:space="preserve">. Reversed and normal </w:t>
      </w:r>
      <w:r>
        <w:rPr>
          <w:i/>
        </w:rPr>
        <w:t>N</w:t>
      </w:r>
      <w:r>
        <w:t xml:space="preserve"> will be used as stimuli (Frith, 1974; Wang et al., 1994).</w:t>
      </w:r>
    </w:p>
    <w:p w:rsidR="00963F2A" w:rsidRDefault="00FD1A5A">
      <w:pPr>
        <w:pStyle w:val="Compact"/>
        <w:numPr>
          <w:ilvl w:val="0"/>
          <w:numId w:val="16"/>
        </w:numPr>
      </w:pPr>
      <w:r>
        <w:rPr>
          <w:b/>
        </w:rPr>
        <w:t>Default compliance: Viewing angle</w:t>
      </w:r>
      <w:r>
        <w:t>. Upward and Downward tilted cubes will be used as stimuli (Von Grünau &amp; Dubé, 1994).</w:t>
      </w:r>
    </w:p>
    <w:p w:rsidR="00963F2A" w:rsidRDefault="00FD1A5A">
      <w:pPr>
        <w:pStyle w:val="Heading3"/>
        <w:framePr w:wrap="around"/>
      </w:pPr>
      <w:bookmarkStart w:id="5" w:name="randomization"/>
      <w:r>
        <w:t>Randomization.</w:t>
      </w:r>
      <w:bookmarkEnd w:id="5"/>
    </w:p>
    <w:p w:rsidR="00963F2A" w:rsidRDefault="00FD1A5A">
      <w:pPr>
        <w:pStyle w:val="FirstParagraph"/>
      </w:pPr>
      <w:r>
        <w:t xml:space="preserve">The order and timing of experimental events will be determined pseudo-randomly by the Mersenne Twister pseudorandom number generator, initialized in a way </w:t>
      </w:r>
      <w:r>
        <w:t>that ensures registration time-locking (Mazor, Mazor, &amp; Mukamel, 2019).</w:t>
      </w:r>
    </w:p>
    <w:p w:rsidR="00963F2A" w:rsidRDefault="00FD1A5A">
      <w:pPr>
        <w:pStyle w:val="Heading2"/>
      </w:pPr>
      <w:bookmarkStart w:id="6" w:name="data-analysis"/>
      <w:r>
        <w:t>Data analysis</w:t>
      </w:r>
      <w:bookmarkEnd w:id="6"/>
    </w:p>
    <w:p w:rsidR="00963F2A" w:rsidRDefault="00FD1A5A">
      <w:pPr>
        <w:pStyle w:val="FirstParagraph"/>
      </w:pPr>
      <w:r>
        <w:t xml:space="preserve">We will use R (Version 3.6.0; R Core Team, 2019) and the R-packages </w:t>
      </w:r>
      <w:r>
        <w:rPr>
          <w:i/>
        </w:rPr>
        <w:t>BayesFactor</w:t>
      </w:r>
      <w:r>
        <w:t xml:space="preserve"> (Version 0.9.12.4.2; Morey &amp; Rouder, 2018), </w:t>
      </w:r>
      <w:r>
        <w:rPr>
          <w:i/>
        </w:rPr>
        <w:t>brms</w:t>
      </w:r>
      <w:r>
        <w:t xml:space="preserve"> (Version 2.13.0; Bürkner, 2018), </w:t>
      </w:r>
      <w:r>
        <w:rPr>
          <w:i/>
        </w:rPr>
        <w:t>broom</w:t>
      </w:r>
      <w:r>
        <w:t xml:space="preserve"> (V</w:t>
      </w:r>
      <w:r>
        <w:t xml:space="preserve">ersion 0.5.6; Robinson &amp; Hayes, 2020), </w:t>
      </w:r>
      <w:r>
        <w:rPr>
          <w:i/>
        </w:rPr>
        <w:t>cowplot</w:t>
      </w:r>
      <w:r>
        <w:t xml:space="preserve"> (Version 1.0.0; Wilke, 2019), </w:t>
      </w:r>
      <w:r>
        <w:rPr>
          <w:i/>
        </w:rPr>
        <w:t>dplyr</w:t>
      </w:r>
      <w:r>
        <w:t xml:space="preserve"> (Version 1.0.0; Wickham et al., 2020), </w:t>
      </w:r>
      <w:r>
        <w:rPr>
          <w:i/>
        </w:rPr>
        <w:t>ggplot2</w:t>
      </w:r>
      <w:r>
        <w:t xml:space="preserve"> (Version 3.3.1; Wickham, 2016), </w:t>
      </w:r>
      <w:r>
        <w:rPr>
          <w:i/>
        </w:rPr>
        <w:t>papaja</w:t>
      </w:r>
      <w:r>
        <w:t xml:space="preserve"> (Version 0.1.0.9942; Aust &amp; Barth, 2020), and </w:t>
      </w:r>
      <w:r>
        <w:rPr>
          <w:i/>
        </w:rPr>
        <w:t>tidyr</w:t>
      </w:r>
      <w:r>
        <w:t xml:space="preserve"> (Version 1.1.0; Wickham &amp; Henry, 20</w:t>
      </w:r>
      <w:r>
        <w:t>20) for all our analyses.</w:t>
      </w:r>
    </w:p>
    <w:p w:rsidR="00963F2A" w:rsidRDefault="00FD1A5A">
      <w:pPr>
        <w:pStyle w:val="BodyText"/>
      </w:pPr>
      <w:r>
        <w:t>We will test the following hypotheses:</w:t>
      </w:r>
    </w:p>
    <w:p w:rsidR="00963F2A" w:rsidRDefault="00FD1A5A">
      <w:pPr>
        <w:pStyle w:val="Compact"/>
        <w:numPr>
          <w:ilvl w:val="0"/>
          <w:numId w:val="17"/>
        </w:numPr>
      </w:pPr>
      <w:r>
        <w:rPr>
          <w:b/>
        </w:rPr>
        <w:t>Hypothesis 1 (REPLICATION)</w:t>
      </w:r>
      <w:r>
        <w:t>: For our selected stimulus pairs, visual search is more efficient in one direction compared with the other.</w:t>
      </w:r>
    </w:p>
    <w:p w:rsidR="00963F2A" w:rsidRDefault="00FD1A5A">
      <w:pPr>
        <w:pStyle w:val="FirstParagraph"/>
      </w:pPr>
      <w:r>
        <w:lastRenderedPageBreak/>
        <w:t xml:space="preserve">This hypothesis will be tested for the following stimulus features for which search asymmetry has been demonstrated: addition of a stimulus part (visual search is more efficient for Q-in-O than for O-in-Q search), open ends (more efficient for C-in-O than </w:t>
      </w:r>
      <w:r>
        <w:t>for O-in-C search), orientation (more efficient for tilted-in-vertical than for vertical-in-tilted search), curvature (more efficient for curved-in-straight than for straight-in-curved search), letter inversion (more efficient for inverted-in-canonical tha</w:t>
      </w:r>
      <w:r>
        <w:t>n for canonical-in-inverted search), and viewing angle (more efficient for upward-in-downward tilted than for downward-in-upward-tilted search). We will test Hypothesis 1 separately for each stimulus feature, by replicating the original search asymmetry.</w:t>
      </w:r>
    </w:p>
    <w:p w:rsidR="00963F2A" w:rsidRDefault="00FD1A5A">
      <w:pPr>
        <w:pStyle w:val="Compact"/>
        <w:numPr>
          <w:ilvl w:val="0"/>
          <w:numId w:val="18"/>
        </w:numPr>
      </w:pPr>
      <w:r>
        <w:rPr>
          <w:b/>
        </w:rPr>
        <w:t>H</w:t>
      </w:r>
      <w:r>
        <w:rPr>
          <w:b/>
        </w:rPr>
        <w:t>ypothesis 2 (TASK-GENERALITY)</w:t>
      </w:r>
      <w:r>
        <w:t>: Conditioned on the results of our testing of Hypothesis 1. Metacognitive asymmetry, measured as the area between the two response conditional ROC curves in a discrimination task (see methods section below), follows the same d</w:t>
      </w:r>
      <w:r>
        <w:t>irection as search asymmetry.</w:t>
      </w:r>
    </w:p>
    <w:p w:rsidR="00963F2A" w:rsidRDefault="00FD1A5A">
      <w:pPr>
        <w:pStyle w:val="FirstParagraph"/>
      </w:pPr>
      <w:r>
        <w:t xml:space="preserve">For each of the six stimulus pairs, we will test the the null hypothesis that metacognitive sensitivity (measured as the area under the response conditional ROC curve) for the efficient target (e.g., </w:t>
      </w:r>
      <w:r>
        <w:rPr>
          <w:i/>
        </w:rPr>
        <w:t>Q</w:t>
      </w:r>
      <w:r>
        <w:t>) is equal to or lower th</w:t>
      </w:r>
      <w:r>
        <w:t xml:space="preserve">an metacognitive sensitivity for the inefficient target (e.g., for the case of </w:t>
      </w:r>
      <w:r>
        <w:rPr>
          <w:i/>
        </w:rPr>
        <w:t>Q</w:t>
      </w:r>
      <w:r>
        <w:t>/</w:t>
      </w:r>
      <w:r>
        <w:rPr>
          <w:i/>
        </w:rPr>
        <w:t>O</w:t>
      </w:r>
      <w:r>
        <w:t xml:space="preserve">,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m:t>
        </m:r>
        <m:r>
          <w:rPr>
            <w:rFonts w:ascii="Cambria Math" w:hAnsi="Cambria Math"/>
          </w:rPr>
          <m:t>auRO</m:t>
        </m:r>
        <m:sSub>
          <m:sSubPr>
            <m:ctrlPr>
              <w:rPr>
                <w:rFonts w:ascii="Cambria Math" w:hAnsi="Cambria Math"/>
              </w:rPr>
            </m:ctrlPr>
          </m:sSubPr>
          <m:e>
            <m:r>
              <w:rPr>
                <w:rFonts w:ascii="Cambria Math" w:hAnsi="Cambria Math"/>
              </w:rPr>
              <m:t>C</m:t>
            </m:r>
          </m:e>
          <m:sub>
            <m:r>
              <w:rPr>
                <w:rFonts w:ascii="Cambria Math" w:hAnsi="Cambria Math"/>
              </w:rPr>
              <m:t>Q</m:t>
            </m:r>
          </m:sub>
        </m:sSub>
        <m:r>
          <w:rPr>
            <w:rFonts w:ascii="Cambria Math" w:hAnsi="Cambria Math"/>
          </w:rPr>
          <m:t>≤</m:t>
        </m:r>
        <m:r>
          <w:rPr>
            <w:rFonts w:ascii="Cambria Math" w:hAnsi="Cambria Math"/>
          </w:rPr>
          <m:t>auRO</m:t>
        </m:r>
        <m:sSub>
          <m:sSubPr>
            <m:ctrlPr>
              <w:rPr>
                <w:rFonts w:ascii="Cambria Math" w:hAnsi="Cambria Math"/>
              </w:rPr>
            </m:ctrlPr>
          </m:sSubPr>
          <m:e>
            <m:r>
              <w:rPr>
                <w:rFonts w:ascii="Cambria Math" w:hAnsi="Cambria Math"/>
              </w:rPr>
              <m:t>C</m:t>
            </m:r>
          </m:e>
          <m:sub>
            <m:r>
              <w:rPr>
                <w:rFonts w:ascii="Cambria Math" w:hAnsi="Cambria Math"/>
              </w:rPr>
              <m:t>O</m:t>
            </m:r>
          </m:sub>
        </m:sSub>
      </m:oMath>
      <w:r>
        <w:t>).</w:t>
      </w:r>
    </w:p>
    <w:p w:rsidR="00963F2A" w:rsidRDefault="00FD1A5A">
      <w:pPr>
        <w:pStyle w:val="Compact"/>
        <w:numPr>
          <w:ilvl w:val="0"/>
          <w:numId w:val="19"/>
        </w:numPr>
      </w:pPr>
      <w:r>
        <w:rPr>
          <w:b/>
        </w:rPr>
        <w:t>Hypothesis 3 (TASK-CORRELATION)</w:t>
      </w:r>
      <w:r>
        <w:t>: Individual differences in the direction and magnitude of search asymmetry positively covary with individua</w:t>
      </w:r>
      <w:r>
        <w:t>l differences in the direction and magnitude of metacognitive asymmetry.</w:t>
      </w:r>
    </w:p>
    <w:p w:rsidR="00963F2A" w:rsidRDefault="00FD1A5A">
      <w:pPr>
        <w:pStyle w:val="FirstParagraph"/>
      </w:pPr>
      <w:r>
        <w:t>This hypothesis will be tested separately for each stimulus pair by measuring the Pearson correlation between search asymmetry and metacognitive asymmetry across participants. We will</w:t>
      </w:r>
      <w:r>
        <w:t xml:space="preserve"> also measure the overall correlation between search and metacognitive asymmetries across participants, pooled from all 6 experiments.</w:t>
      </w:r>
    </w:p>
    <w:p w:rsidR="00963F2A" w:rsidRDefault="00FD1A5A">
      <w:pPr>
        <w:pStyle w:val="Compact"/>
        <w:numPr>
          <w:ilvl w:val="0"/>
          <w:numId w:val="20"/>
        </w:numPr>
      </w:pPr>
      <w:r>
        <w:rPr>
          <w:b/>
        </w:rPr>
        <w:t>Hypothesis 4 (SEARCH-CORRELATION)</w:t>
      </w:r>
      <w:r>
        <w:t>: Individual differences in the direction and magnitude of search asymmetry positively c</w:t>
      </w:r>
      <w:r>
        <w:t>ovary with individual differences in the additional time cost for reporting target absence in visual search.</w:t>
      </w:r>
    </w:p>
    <w:p w:rsidR="00963F2A" w:rsidRDefault="00FD1A5A">
      <w:pPr>
        <w:pStyle w:val="FirstParagraph"/>
      </w:pPr>
      <w:r>
        <w:lastRenderedPageBreak/>
        <w:t>This hypothesis will be tested separately for each stimulus pair by measuring the Pearson correlation between search asymmetry and the time cost of</w:t>
      </w:r>
      <w:r>
        <w:t xml:space="preserve"> reporting target absence, across participants. We will also measure the overall correlation between these two measures across participants, pooled from all 6 experiments.</w:t>
      </w:r>
    </w:p>
    <w:p w:rsidR="00963F2A" w:rsidRDefault="00FD1A5A">
      <w:pPr>
        <w:pStyle w:val="BodyText"/>
      </w:pPr>
      <w:r>
        <w:t>For each stimulus pair, Hypothesis 2 (TASK-GENERALITY) will test the extent to which</w:t>
      </w:r>
      <w:r>
        <w:t xml:space="preserve"> the asymmetry is unique to visual search, or otherwise generalizes to an independent measure of presence/absence asymmetry from metacognitive evaluations. Hypothesis 3 (TASK-CORRELATION) will build on and strengthen findings favouring a shared mechanism, </w:t>
      </w:r>
      <w:r>
        <w:t>by testing for shared variance between the two independent measures across participants. Finally, Hypothesis 4 (SEARCH-CORRELATION) will test whether, for each of our stimulus pairs, feature-level asymmetries are correlated with object-level asymmetries be</w:t>
      </w:r>
      <w:r>
        <w:t>tween ‘present’ and ‘absent’ responses. This will serve to test the more general idea that feature-level asymmetries are related to explicit decisions about the presence or absence of objects.</w:t>
      </w:r>
    </w:p>
    <w:p w:rsidR="00963F2A" w:rsidRDefault="00FD1A5A">
      <w:pPr>
        <w:pStyle w:val="Heading3"/>
        <w:framePr w:wrap="around"/>
      </w:pPr>
      <w:bookmarkStart w:id="7" w:name="rejection-criteria"/>
      <w:r>
        <w:t>Rejection criteria.</w:t>
      </w:r>
      <w:bookmarkEnd w:id="7"/>
    </w:p>
    <w:p w:rsidR="00963F2A" w:rsidRDefault="00FD1A5A">
      <w:pPr>
        <w:pStyle w:val="FirstParagraph"/>
      </w:pPr>
      <w:r>
        <w:t>Participants will be excluded for performin</w:t>
      </w:r>
      <w:r>
        <w:t>g below 70% accuracy in one or two of the search tasks, for performing below 60% accuracy in the discrimination task, for having extremely fast or slow reaction times in one or more of the tasks (below 250 milliseconds or above 5 seconds in more than 25% o</w:t>
      </w:r>
      <w:r>
        <w:t xml:space="preserve">f the trials), and for failing the comprehension check. For the response-conditional ROC analysis, only participants that committed at least one error of each error type (for example, mistaking a </w:t>
      </w:r>
      <w:r>
        <w:rPr>
          <w:i/>
        </w:rPr>
        <w:t>Q</w:t>
      </w:r>
      <w:r>
        <w:t xml:space="preserve"> of </w:t>
      </w:r>
      <w:r>
        <w:rPr>
          <w:i/>
        </w:rPr>
        <w:t>O</w:t>
      </w:r>
      <w:r>
        <w:t xml:space="preserve"> and mistaking an </w:t>
      </w:r>
      <w:r>
        <w:rPr>
          <w:i/>
        </w:rPr>
        <w:t>O</w:t>
      </w:r>
      <w:r>
        <w:t xml:space="preserve"> for </w:t>
      </w:r>
      <w:r>
        <w:rPr>
          <w:i/>
        </w:rPr>
        <w:t>Q</w:t>
      </w:r>
      <w:r>
        <w:t>), will be included.</w:t>
      </w:r>
    </w:p>
    <w:p w:rsidR="00963F2A" w:rsidRDefault="00FD1A5A">
      <w:pPr>
        <w:pStyle w:val="BodyText"/>
      </w:pPr>
      <w:r>
        <w:t>Trials w</w:t>
      </w:r>
      <w:r>
        <w:t>ith response time below 250 milliseconds or above 5 seconds will be excluded.</w:t>
      </w:r>
    </w:p>
    <w:p w:rsidR="00963F2A" w:rsidRDefault="00FD1A5A">
      <w:pPr>
        <w:pStyle w:val="BodyText"/>
      </w:pPr>
      <w:r>
        <w:t>Only correct visual search trials will be analyzed.</w:t>
      </w:r>
    </w:p>
    <w:p w:rsidR="00963F2A" w:rsidRDefault="00FD1A5A">
      <w:pPr>
        <w:pStyle w:val="Heading3"/>
        <w:framePr w:wrap="around"/>
      </w:pPr>
      <w:bookmarkStart w:id="8" w:name="dependent-variables-and-analysis-plan"/>
      <w:r>
        <w:lastRenderedPageBreak/>
        <w:t>Dependent variables and analysis plan.</w:t>
      </w:r>
      <w:bookmarkEnd w:id="8"/>
    </w:p>
    <w:p w:rsidR="00963F2A" w:rsidRDefault="00FD1A5A">
      <w:pPr>
        <w:pStyle w:val="FirstParagraph"/>
      </w:pPr>
      <w:r>
        <w:t>The following measures will be extracted for each participant:</w:t>
      </w:r>
    </w:p>
    <w:p w:rsidR="00963F2A" w:rsidRDefault="00FD1A5A">
      <w:pPr>
        <w:pStyle w:val="Compact"/>
        <w:numPr>
          <w:ilvl w:val="0"/>
          <w:numId w:val="21"/>
        </w:numPr>
      </w:pPr>
      <w:r>
        <w:t>The difference between t</w:t>
      </w:r>
      <w:r>
        <w:t>he area under the response-conditional type-2 ROC curves for the two responses [e.g., ‘</w:t>
      </w:r>
      <w:r>
        <w:rPr>
          <w:i/>
        </w:rPr>
        <w:t>Q</w:t>
      </w:r>
      <w:r>
        <w:t>’ and ‘</w:t>
      </w:r>
      <w:r>
        <w:rPr>
          <w:i/>
        </w:rPr>
        <w:t>O</w:t>
      </w:r>
      <w:r>
        <w:t xml:space="preserve">’]: </w:t>
      </w:r>
      <m:oMath>
        <m:sSub>
          <m:sSubPr>
            <m:ctrlPr>
              <w:rPr>
                <w:rFonts w:ascii="Cambria Math" w:hAnsi="Cambria Math"/>
              </w:rPr>
            </m:ctrlPr>
          </m:sSubPr>
          <m:e>
            <m:r>
              <w:rPr>
                <w:rFonts w:ascii="Cambria Math" w:hAnsi="Cambria Math"/>
              </w:rPr>
              <m:t>Δ</m:t>
            </m:r>
          </m:e>
          <m:sub>
            <m:r>
              <w:rPr>
                <w:rFonts w:ascii="Cambria Math" w:hAnsi="Cambria Math"/>
              </w:rPr>
              <m:t>m</m:t>
            </m:r>
          </m:sub>
        </m:sSub>
      </m:oMath>
      <w:r>
        <w:t>.</w:t>
      </w:r>
    </w:p>
    <w:p w:rsidR="00963F2A" w:rsidRDefault="00FD1A5A">
      <w:pPr>
        <w:pStyle w:val="FirstParagraph"/>
      </w:pPr>
      <w:r>
        <w:t>Response conditional ROC curves will be extracted, by plotting the empirical cumulative distribution of confidence ratings for correct responses again</w:t>
      </w:r>
      <w:r>
        <w:t xml:space="preserve">st the same cumulative distribution for incorrect responses. This will be done separately for the two responses, resulting in two curves. The area under the response-conditional ROC curve is a measure of metacognitive sensitivity. The area between the two </w:t>
      </w:r>
      <w:r>
        <w:t>curves is a measure of metacognitive asymmetry (Meuwese et al., 2014). This difference will be used to test Hypothesis 2 (TASK-GENERALITY).</w:t>
      </w:r>
    </w:p>
    <w:p w:rsidR="00963F2A" w:rsidRDefault="00FD1A5A">
      <w:pPr>
        <w:pStyle w:val="Compact"/>
        <w:numPr>
          <w:ilvl w:val="0"/>
          <w:numId w:val="22"/>
        </w:numPr>
      </w:pPr>
      <w:r>
        <w:t xml:space="preserve">The difference between search slopes for the two visual search tasks: </w:t>
      </w:r>
      <m:oMath>
        <m:sSub>
          <m:sSubPr>
            <m:ctrlPr>
              <w:rPr>
                <w:rFonts w:ascii="Cambria Math" w:hAnsi="Cambria Math"/>
              </w:rPr>
            </m:ctrlPr>
          </m:sSubPr>
          <m:e>
            <m:r>
              <w:rPr>
                <w:rFonts w:ascii="Cambria Math" w:hAnsi="Cambria Math"/>
              </w:rPr>
              <m:t>Δ</m:t>
            </m:r>
          </m:e>
          <m:sub>
            <m:r>
              <w:rPr>
                <w:rFonts w:ascii="Cambria Math" w:hAnsi="Cambria Math"/>
              </w:rPr>
              <m:t>s</m:t>
            </m:r>
          </m:sub>
        </m:sSub>
      </m:oMath>
      <w:r>
        <w:t>.</w:t>
      </w:r>
    </w:p>
    <w:p w:rsidR="00963F2A" w:rsidRDefault="00FD1A5A">
      <w:pPr>
        <w:pStyle w:val="FirstParagraph"/>
      </w:pPr>
      <w:r>
        <w:t>For each visual search task, the slope will be extracted for target present and target absent trials separately (correct trials only), and the average value will be taken. The difference between these average slopes is a measure of search asymmetry. This d</w:t>
      </w:r>
      <w:r>
        <w:t>ifference will be used to test Hypotheses 1 (REPLICATION) and 2 (TASK-GENERALITY).</w:t>
      </w:r>
    </w:p>
    <w:p w:rsidR="00963F2A" w:rsidRDefault="00FD1A5A">
      <w:pPr>
        <w:pStyle w:val="Compact"/>
        <w:numPr>
          <w:ilvl w:val="0"/>
          <w:numId w:val="23"/>
        </w:numPr>
      </w:pPr>
      <w:r>
        <w:t>The relative difference between the area under the response-conditional type-2 ROC curves for the two responses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will be defined as the area between the two curv</w:t>
      </w:r>
      <w:r>
        <w:t>es, divided by the sum of the areas under the two curves.</w:t>
      </w:r>
    </w:p>
    <w:p w:rsidR="00963F2A" w:rsidRDefault="00FD1A5A">
      <w:pPr>
        <w:pStyle w:val="FirstParagraph"/>
      </w:pPr>
      <w:r>
        <w:t>This relative difference will be used to test Hypothesis 3 (TASK-CORRELATION).</w:t>
      </w:r>
    </w:p>
    <w:p w:rsidR="00963F2A" w:rsidRDefault="00FD1A5A">
      <w:pPr>
        <w:pStyle w:val="Compact"/>
        <w:numPr>
          <w:ilvl w:val="0"/>
          <w:numId w:val="24"/>
        </w:numPr>
      </w:pPr>
      <w:r>
        <w:t>The relative difference between search slopes for the two visual search tasks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will be defined as the diffe</w:t>
      </w:r>
      <w:r>
        <w:t>rence between the two search slopes, divided by the sum of their absolute values.</w:t>
      </w:r>
    </w:p>
    <w:p w:rsidR="00963F2A" w:rsidRDefault="00FD1A5A">
      <w:pPr>
        <w:pStyle w:val="FirstParagraph"/>
      </w:pPr>
      <w:r>
        <w:t>This relative difference will be used to test Hypotheses 3 (TASK-CORRELATION) and 4 (SEARCH-CORRELATION).</w:t>
      </w:r>
    </w:p>
    <w:p w:rsidR="00963F2A" w:rsidRDefault="00FD1A5A">
      <w:pPr>
        <w:pStyle w:val="Compact"/>
        <w:numPr>
          <w:ilvl w:val="0"/>
          <w:numId w:val="25"/>
        </w:numPr>
      </w:pPr>
      <w:r>
        <w:t xml:space="preserve">The relative difference between search slopes for the two visual search responses: </w:t>
      </w:r>
      <m:oMath>
        <m:sSubSup>
          <m:sSubSupPr>
            <m:ctrlPr>
              <w:rPr>
                <w:rFonts w:ascii="Cambria Math" w:hAnsi="Cambria Math"/>
              </w:rPr>
            </m:ctrlPr>
          </m:sSubSupPr>
          <m:e>
            <m:r>
              <w:rPr>
                <w:rFonts w:ascii="Cambria Math" w:hAnsi="Cambria Math"/>
              </w:rPr>
              <m:t>Δ</m:t>
            </m:r>
          </m:e>
          <m:sub>
            <m:r>
              <w:rPr>
                <w:rFonts w:ascii="Cambria Math" w:hAnsi="Cambria Math"/>
              </w:rPr>
              <m:t>r</m:t>
            </m:r>
          </m:sub>
          <m:sup>
            <m:r>
              <w:rPr>
                <w:rFonts w:ascii="Cambria Math" w:hAnsi="Cambria Math"/>
              </w:rPr>
              <m:t>rel</m:t>
            </m:r>
          </m:sup>
        </m:sSubSup>
      </m:oMath>
      <w:r>
        <w:t>.</w:t>
      </w:r>
    </w:p>
    <w:p w:rsidR="00963F2A" w:rsidRDefault="00FD1A5A">
      <w:pPr>
        <w:pStyle w:val="FirstParagraph"/>
      </w:pPr>
      <w:r>
        <w:lastRenderedPageBreak/>
        <w:t>For each visual search response (‘present’ and ‘absent’; correct trials only), the slope will be extracted for the two stimulus assignments separately, and the a</w:t>
      </w:r>
      <w:r>
        <w:t>verage value will be taken. The relative difference between search slopes for the two visual search responses (</w:t>
      </w:r>
      <m:oMath>
        <m:sSubSup>
          <m:sSubSupPr>
            <m:ctrlPr>
              <w:rPr>
                <w:rFonts w:ascii="Cambria Math" w:hAnsi="Cambria Math"/>
              </w:rPr>
            </m:ctrlPr>
          </m:sSubSupPr>
          <m:e>
            <m:r>
              <w:rPr>
                <w:rFonts w:ascii="Cambria Math" w:hAnsi="Cambria Math"/>
              </w:rPr>
              <m:t>Δ</m:t>
            </m:r>
          </m:e>
          <m:sub>
            <m:r>
              <w:rPr>
                <w:rFonts w:ascii="Cambria Math" w:hAnsi="Cambria Math"/>
              </w:rPr>
              <m:t>r</m:t>
            </m:r>
          </m:sub>
          <m:sup>
            <m:r>
              <w:rPr>
                <w:rFonts w:ascii="Cambria Math" w:hAnsi="Cambria Math"/>
              </w:rPr>
              <m:t>rel</m:t>
            </m:r>
          </m:sup>
        </m:sSubSup>
      </m:oMath>
      <w:r>
        <w:t>) will be defined as the difference between the two search slopes, divided by the sum of their absolute values.</w:t>
      </w:r>
    </w:p>
    <w:p w:rsidR="00963F2A" w:rsidRDefault="00FD1A5A">
      <w:pPr>
        <w:pStyle w:val="BodyText"/>
      </w:pPr>
      <w:r>
        <w:t>This relative differenc</w:t>
      </w:r>
      <w:r>
        <w:t>e will be used to test Hypothesis 4 (SEARCH-CORREALTION).</w:t>
      </w:r>
    </w:p>
    <w:p w:rsidR="00963F2A" w:rsidRDefault="00FD1A5A">
      <w:pPr>
        <w:pStyle w:val="BodyText"/>
      </w:pPr>
      <w:r>
        <w:t xml:space="preserve">For each of the six experiments, Hypothesis 1 (REPLICATION) will be tested using a two tailed t-test at the group level with </w:t>
      </w:r>
      <m:oMath>
        <m:r>
          <w:rPr>
            <w:rFonts w:ascii="Cambria Math" w:hAnsi="Cambria Math"/>
          </w:rPr>
          <m:t>α</m:t>
        </m:r>
        <m:r>
          <w:rPr>
            <w:rFonts w:ascii="Cambria Math" w:hAnsi="Cambria Math"/>
          </w:rPr>
          <m:t>=0.05</m:t>
        </m:r>
      </m:oMath>
      <w:r>
        <w:t>.</w:t>
      </w:r>
    </w:p>
    <w:p w:rsidR="00963F2A" w:rsidRDefault="00FD1A5A">
      <w:pPr>
        <w:pStyle w:val="BodyText"/>
      </w:pPr>
      <w:r>
        <w:t>Conditioned on that search asymmetry will be replicated, for eac</w:t>
      </w:r>
      <w:r>
        <w:t xml:space="preserve">h of the six experiments, Hypothesis 2 (TASK-GENERALITY) will be tested using a one tailed t-test at the group level with </w:t>
      </w:r>
      <m:oMath>
        <m:r>
          <w:rPr>
            <w:rFonts w:ascii="Cambria Math" w:hAnsi="Cambria Math"/>
          </w:rPr>
          <m:t>α</m:t>
        </m:r>
        <m:r>
          <w:rPr>
            <w:rFonts w:ascii="Cambria Math" w:hAnsi="Cambria Math"/>
          </w:rPr>
          <m:t>=0.05</m:t>
        </m:r>
      </m:oMath>
      <w:r>
        <w:t xml:space="preserve">. </w:t>
      </w:r>
    </w:p>
    <w:p w:rsidR="00963F2A" w:rsidRDefault="00FD1A5A">
      <w:pPr>
        <w:pStyle w:val="BodyText"/>
      </w:pPr>
      <w:r>
        <w:t xml:space="preserve">Hypothesis 3 (TASK-CORRELATION) will be tested for each experiment by testing the Pearson correlation between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w:t>
      </w:r>
      <w:r>
        <w:t xml:space="preserve">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across participants. We will also test the Pearson correlation between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pooled across participants from all 6 experiments, and controlling for experiment-specific intercept effects (by mean-centering both variables at </w:t>
      </w:r>
      <w:r>
        <w:t>the experiment level prior to computing a correlation).</w:t>
      </w:r>
    </w:p>
    <w:p w:rsidR="00963F2A" w:rsidRDefault="00FD1A5A">
      <w:pPr>
        <w:pStyle w:val="BodyText"/>
      </w:pPr>
      <w:r>
        <w:t xml:space="preserve">Hypothesis 4 (RESPONSE-GENERAL) will be tested for each experiment by testing the Pearson correlation between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r</m:t>
            </m:r>
          </m:sub>
          <m:sup>
            <m:r>
              <w:rPr>
                <w:rFonts w:ascii="Cambria Math" w:hAnsi="Cambria Math"/>
              </w:rPr>
              <m:t>rel</m:t>
            </m:r>
          </m:sup>
        </m:sSubSup>
      </m:oMath>
      <w:r>
        <w:t xml:space="preserve">, across participants. We will also test the Pearson correlation </w:t>
      </w:r>
      <w:r>
        <w:t xml:space="preserve">between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r</m:t>
            </m:r>
          </m:sub>
          <m:sup>
            <m:r>
              <w:rPr>
                <w:rFonts w:ascii="Cambria Math" w:hAnsi="Cambria Math"/>
              </w:rPr>
              <m:t>rel</m:t>
            </m:r>
          </m:sup>
        </m:sSubSup>
      </m:oMath>
      <w:r>
        <w:t xml:space="preserve"> pooled across participants from all 6 experiments, and controlling for experiment-specific intercept effects.</w:t>
      </w:r>
    </w:p>
    <w:p w:rsidR="00963F2A" w:rsidRDefault="00FD1A5A">
      <w:pPr>
        <w:pStyle w:val="BodyText"/>
      </w:pPr>
      <w:r>
        <w:lastRenderedPageBreak/>
        <w:t>For hypotheses 1 (REPLICATION) and 2 (TASK-GENREAL), in case of a null result, a Bayes factor will be computed u</w:t>
      </w:r>
      <w:r>
        <w:t xml:space="preserve">sing the BayesFactor R package (Morey, Rouder, Jamil, &amp; Morey, 2015) and using a Jeffrey-Zellner-Siow Prior with a medium rscale parameter of </w:t>
      </w:r>
      <m:oMath>
        <m:rad>
          <m:radPr>
            <m:degHide m:val="1"/>
            <m:ctrlPr>
              <w:rPr>
                <w:rFonts w:ascii="Cambria Math" w:hAnsi="Cambria Math"/>
              </w:rPr>
            </m:ctrlPr>
          </m:radPr>
          <m:deg/>
          <m:e>
            <m:r>
              <w:rPr>
                <w:rFonts w:ascii="Cambria Math" w:hAnsi="Cambria Math"/>
              </w:rPr>
              <m:t>2</m:t>
            </m:r>
          </m:e>
        </m:rad>
        <m:r>
          <w:rPr>
            <w:rFonts w:ascii="Cambria Math" w:hAnsi="Cambria Math"/>
          </w:rPr>
          <m:t>/2</m:t>
        </m:r>
      </m:oMath>
      <w:r>
        <w:t>. For hypotheses 3 (TASK-CORREALTION) and 4 (SEARCH-CORRELATION), in case of a null result, the BayesFactor pac</w:t>
      </w:r>
      <w:r>
        <w:t>kage will be used to compute a Bayes factor using a shifted, scaled beta(3,3) prior distribution for the correlation.</w:t>
      </w:r>
    </w:p>
    <w:p w:rsidR="00963F2A" w:rsidRDefault="00FD1A5A">
      <w:pPr>
        <w:pStyle w:val="Heading3"/>
        <w:framePr w:wrap="around"/>
      </w:pPr>
      <w:bookmarkStart w:id="9" w:name="statistical-power"/>
      <w:r>
        <w:t>Statistical power.</w:t>
      </w:r>
      <w:bookmarkEnd w:id="9"/>
    </w:p>
    <w:p w:rsidR="00963F2A" w:rsidRDefault="00FD1A5A">
      <w:pPr>
        <w:pStyle w:val="FirstParagraph"/>
      </w:pPr>
      <w:r>
        <w:t>Statistical power calculations were performed using the R-pwr package (Champely, 2020).</w:t>
      </w:r>
    </w:p>
    <w:p w:rsidR="00963F2A" w:rsidRDefault="00FD1A5A">
      <w:pPr>
        <w:numPr>
          <w:ilvl w:val="0"/>
          <w:numId w:val="26"/>
        </w:numPr>
      </w:pPr>
      <w:r>
        <w:t>Hypothesis 1 (REPLICATION): Wit</w:t>
      </w:r>
      <w:r>
        <w:t>h 320 participants, we will have a statistical power of 95% to detect effects of size 0.20, which is less than a fifth of the standardized effect size we observed for search slopes in our pilot sample.</w:t>
      </w:r>
    </w:p>
    <w:p w:rsidR="00963F2A" w:rsidRDefault="00FD1A5A">
      <w:pPr>
        <w:numPr>
          <w:ilvl w:val="0"/>
          <w:numId w:val="26"/>
        </w:numPr>
      </w:pPr>
      <w:r>
        <w:t>Hypothesis 2 (TASK-GENERALITY): With 320 participants,</w:t>
      </w:r>
      <w:r>
        <w:t xml:space="preserve"> we will have a statistical power of 95% to detect effects of size 0.18, which is less than a half of the standardized effect size we observed for metacognitive asymmetry in our pilot sample.</w:t>
      </w:r>
    </w:p>
    <w:p w:rsidR="00963F2A" w:rsidRDefault="00FD1A5A">
      <w:pPr>
        <w:numPr>
          <w:ilvl w:val="0"/>
          <w:numId w:val="26"/>
        </w:numPr>
      </w:pPr>
      <w:r>
        <w:t>Hypothesis 3 (TASK-CORRELATION): For each stimulus pair, will ha</w:t>
      </w:r>
      <w:r>
        <w:t>ve a statistical power of 95% to detect a Pearson correlation of 0.20 between search and metacognitive asymmetries. Across all six stimulus pairs, we will have a statistical power of 95% to detect a Pearson correlation of 0.08.</w:t>
      </w:r>
    </w:p>
    <w:p w:rsidR="00963F2A" w:rsidRDefault="00FD1A5A">
      <w:pPr>
        <w:numPr>
          <w:ilvl w:val="0"/>
          <w:numId w:val="26"/>
        </w:numPr>
      </w:pPr>
      <w:r>
        <w:t>Hypothesis 4 (SEARCH-CORRELA</w:t>
      </w:r>
      <w:r>
        <w:t>TION): For each stimulus pair, will have a statistical power of 95% to detect a Pearson correlation of 0.20 between search type and search response asymmetries. Across all six stimulus pairs, we will have a statistical power of 95% to detect a Pearson corr</w:t>
      </w:r>
      <w:r>
        <w:t>elation of 0.08.</w:t>
      </w:r>
    </w:p>
    <w:p w:rsidR="00963F2A" w:rsidRDefault="00FD1A5A">
      <w:pPr>
        <w:pStyle w:val="Heading2"/>
      </w:pPr>
      <w:bookmarkStart w:id="10" w:name="data-availability"/>
      <w:r>
        <w:lastRenderedPageBreak/>
        <w:t>Data availability</w:t>
      </w:r>
      <w:bookmarkEnd w:id="10"/>
    </w:p>
    <w:p w:rsidR="00963F2A" w:rsidRDefault="00FD1A5A">
      <w:pPr>
        <w:pStyle w:val="FirstParagraph"/>
      </w:pPr>
      <w:r>
        <w:t xml:space="preserve">All raw data will be made fully available on OSF and on the study’s GitHub respository: </w:t>
      </w:r>
      <w:hyperlink r:id="rId11">
        <w:r>
          <w:rPr>
            <w:rStyle w:val="Hyperlink"/>
          </w:rPr>
          <w:t>https://github.com/matanmazor/asymmetry</w:t>
        </w:r>
      </w:hyperlink>
      <w:r>
        <w:t xml:space="preserve">. Pilot data is available at: </w:t>
      </w:r>
      <w:hyperlink r:id="rId12">
        <w:r>
          <w:rPr>
            <w:rStyle w:val="Hyperlink"/>
          </w:rPr>
          <w:t>https://github.com/matanmazor/asymmetry/blob/master/Experiments/Q_in_O/results/pilot/jatos_results_batch3.csv</w:t>
        </w:r>
      </w:hyperlink>
    </w:p>
    <w:p w:rsidR="00963F2A" w:rsidRDefault="00FD1A5A">
      <w:pPr>
        <w:pStyle w:val="Heading2"/>
      </w:pPr>
      <w:bookmarkStart w:id="11" w:name="code-availability"/>
      <w:r>
        <w:t>Code availability</w:t>
      </w:r>
      <w:bookmarkEnd w:id="11"/>
    </w:p>
    <w:p w:rsidR="00963F2A" w:rsidRDefault="00FD1A5A">
      <w:pPr>
        <w:pStyle w:val="FirstParagraph"/>
      </w:pPr>
      <w:r>
        <w:t xml:space="preserve">All </w:t>
      </w:r>
      <w:r>
        <w:t xml:space="preserve">analysis code will be openly shared on the study’s GitHub repository: </w:t>
      </w:r>
      <w:hyperlink r:id="rId13">
        <w:r>
          <w:rPr>
            <w:rStyle w:val="Hyperlink"/>
          </w:rPr>
          <w:t>https://github.com/matanmazor/asymmetry</w:t>
        </w:r>
      </w:hyperlink>
      <w:r>
        <w:t>. For complete reproducibility, the RMarkdown file used to generate the final version of</w:t>
      </w:r>
      <w:r>
        <w:t xml:space="preserve"> the manuscript, including the generation of all figures and extraction of all test statistics, will be available on our GitHub repository.</w:t>
      </w:r>
    </w:p>
    <w:p w:rsidR="00963F2A" w:rsidRDefault="00FD1A5A">
      <w:pPr>
        <w:pStyle w:val="Heading2"/>
      </w:pPr>
      <w:bookmarkStart w:id="12" w:name="acknowledgements"/>
      <w:r>
        <w:t>Acknowledgements</w:t>
      </w:r>
      <w:bookmarkEnd w:id="12"/>
    </w:p>
    <w:p w:rsidR="00963F2A" w:rsidRDefault="00FD1A5A">
      <w:pPr>
        <w:pStyle w:val="Heading2"/>
      </w:pPr>
      <w:bookmarkStart w:id="13" w:name="author-contributions"/>
      <w:r>
        <w:t>Author contributions</w:t>
      </w:r>
      <w:bookmarkEnd w:id="13"/>
    </w:p>
    <w:p w:rsidR="00963F2A" w:rsidRDefault="00FD1A5A">
      <w:pPr>
        <w:pStyle w:val="Heading2"/>
      </w:pPr>
      <w:bookmarkStart w:id="14" w:name="competing-interests"/>
      <w:r>
        <w:t>Competing interests</w:t>
      </w:r>
      <w:bookmarkEnd w:id="14"/>
    </w:p>
    <w:p w:rsidR="00963F2A" w:rsidRDefault="00FD1A5A">
      <w:pPr>
        <w:pStyle w:val="FirstParagraph"/>
      </w:pPr>
      <w:r>
        <w:t>The authors declare no competing interests.</w:t>
      </w:r>
    </w:p>
    <w:p w:rsidR="00963F2A" w:rsidRDefault="00FD1A5A">
      <w:pPr>
        <w:pStyle w:val="Heading2"/>
      </w:pPr>
      <w:bookmarkStart w:id="15" w:name="table-1-design-table"/>
      <w:r>
        <w:t>Table 1: Design Table</w:t>
      </w:r>
      <w:bookmarkEnd w:id="15"/>
    </w:p>
    <w:tbl>
      <w:tblPr>
        <w:tblStyle w:val="Table"/>
        <w:tblW w:w="5000" w:type="pct"/>
        <w:tblLook w:val="07E0" w:firstRow="1" w:lastRow="1" w:firstColumn="1" w:lastColumn="1" w:noHBand="1" w:noVBand="1"/>
      </w:tblPr>
      <w:tblGrid>
        <w:gridCol w:w="1670"/>
        <w:gridCol w:w="1956"/>
        <w:gridCol w:w="1714"/>
        <w:gridCol w:w="2004"/>
        <w:gridCol w:w="2278"/>
      </w:tblGrid>
      <w:tr w:rsidR="00963F2A" w:rsidTr="00963F2A">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0" w:space="0" w:color="auto"/>
            </w:tcBorders>
            <w:vAlign w:val="bottom"/>
          </w:tcPr>
          <w:p w:rsidR="00963F2A" w:rsidRDefault="00FD1A5A">
            <w:pPr>
              <w:pStyle w:val="Compact"/>
            </w:pPr>
            <w:r>
              <w:t>Question</w:t>
            </w:r>
          </w:p>
        </w:tc>
        <w:tc>
          <w:tcPr>
            <w:tcW w:w="0" w:type="auto"/>
            <w:tcBorders>
              <w:bottom w:val="single" w:sz="0" w:space="0" w:color="auto"/>
            </w:tcBorders>
            <w:vAlign w:val="bottom"/>
          </w:tcPr>
          <w:p w:rsidR="00963F2A" w:rsidRDefault="00FD1A5A">
            <w:pPr>
              <w:pStyle w:val="Compact"/>
            </w:pPr>
            <w:r>
              <w:t>Hypothesis</w:t>
            </w:r>
          </w:p>
        </w:tc>
        <w:tc>
          <w:tcPr>
            <w:tcW w:w="0" w:type="auto"/>
            <w:tcBorders>
              <w:bottom w:val="single" w:sz="0" w:space="0" w:color="auto"/>
            </w:tcBorders>
            <w:vAlign w:val="bottom"/>
          </w:tcPr>
          <w:p w:rsidR="00963F2A" w:rsidRDefault="00FD1A5A">
            <w:pPr>
              <w:pStyle w:val="Compact"/>
            </w:pPr>
            <w:r>
              <w:t>Sampling Plan</w:t>
            </w:r>
          </w:p>
        </w:tc>
        <w:tc>
          <w:tcPr>
            <w:tcW w:w="0" w:type="auto"/>
            <w:tcBorders>
              <w:bottom w:val="single" w:sz="0" w:space="0" w:color="auto"/>
            </w:tcBorders>
            <w:vAlign w:val="bottom"/>
          </w:tcPr>
          <w:p w:rsidR="00963F2A" w:rsidRDefault="00FD1A5A">
            <w:pPr>
              <w:pStyle w:val="Compact"/>
            </w:pPr>
            <w:r>
              <w:t>Analysis Plan</w:t>
            </w:r>
          </w:p>
        </w:tc>
        <w:tc>
          <w:tcPr>
            <w:tcW w:w="0" w:type="auto"/>
            <w:tcBorders>
              <w:bottom w:val="single" w:sz="0" w:space="0" w:color="auto"/>
            </w:tcBorders>
            <w:vAlign w:val="bottom"/>
          </w:tcPr>
          <w:p w:rsidR="00963F2A" w:rsidRDefault="00FD1A5A">
            <w:pPr>
              <w:pStyle w:val="Compact"/>
            </w:pPr>
            <w:r>
              <w:t>Interpretation given to different outcomes</w:t>
            </w:r>
          </w:p>
        </w:tc>
      </w:tr>
      <w:tr w:rsidR="00963F2A">
        <w:tc>
          <w:tcPr>
            <w:tcW w:w="0" w:type="auto"/>
          </w:tcPr>
          <w:p w:rsidR="00963F2A" w:rsidRDefault="00FD1A5A">
            <w:pPr>
              <w:pStyle w:val="Compact"/>
            </w:pPr>
            <w:r>
              <w:t>Replication: search asymmetry</w:t>
            </w:r>
          </w:p>
        </w:tc>
        <w:tc>
          <w:tcPr>
            <w:tcW w:w="0" w:type="auto"/>
          </w:tcPr>
          <w:p w:rsidR="00963F2A" w:rsidRDefault="00FD1A5A">
            <w:pPr>
              <w:pStyle w:val="Compact"/>
            </w:pPr>
            <w:r>
              <w:t xml:space="preserve">Visual search is more efficient when searching for the presence rather than the absence of a feature, or when searching for a </w:t>
            </w:r>
            <w:r>
              <w:lastRenderedPageBreak/>
              <w:t>non-default target among default distractors rather than vice versa.</w:t>
            </w:r>
          </w:p>
        </w:tc>
        <w:tc>
          <w:tcPr>
            <w:tcW w:w="0" w:type="auto"/>
          </w:tcPr>
          <w:p w:rsidR="00963F2A" w:rsidRDefault="00FD1A5A">
            <w:pPr>
              <w:pStyle w:val="Compact"/>
            </w:pPr>
            <w:r>
              <w:lastRenderedPageBreak/>
              <w:t xml:space="preserve">320 included participants in each experiment </w:t>
            </w:r>
            <m:oMath>
              <m:r>
                <w:rPr>
                  <w:rFonts w:ascii="Cambria Math" w:hAnsi="Cambria Math"/>
                </w:rPr>
                <m:t>×</m:t>
              </m:r>
            </m:oMath>
            <w:r>
              <w:t xml:space="preserve"> 6 experiments.</w:t>
            </w:r>
            <w:r>
              <w:t xml:space="preserve"> We will have 95% power to detect an effect </w:t>
            </w:r>
            <w:r>
              <w:lastRenderedPageBreak/>
              <w:t>size of 0.2.</w:t>
            </w:r>
          </w:p>
        </w:tc>
        <w:tc>
          <w:tcPr>
            <w:tcW w:w="0" w:type="auto"/>
          </w:tcPr>
          <w:p w:rsidR="00963F2A" w:rsidRDefault="00FD1A5A">
            <w:pPr>
              <w:pStyle w:val="Compact"/>
            </w:pPr>
            <w:r>
              <w:lastRenderedPageBreak/>
              <w:t xml:space="preserve">T test on </w:t>
            </w:r>
            <m:oMath>
              <m:sSub>
                <m:sSubPr>
                  <m:ctrlPr>
                    <w:rPr>
                      <w:rFonts w:ascii="Cambria Math" w:hAnsi="Cambria Math"/>
                    </w:rPr>
                  </m:ctrlPr>
                </m:sSubPr>
                <m:e>
                  <m:r>
                    <w:rPr>
                      <w:rFonts w:ascii="Cambria Math" w:hAnsi="Cambria Math"/>
                    </w:rPr>
                    <m:t>Δ</m:t>
                  </m:r>
                </m:e>
                <m:sub>
                  <m:r>
                    <w:rPr>
                      <w:rFonts w:ascii="Cambria Math" w:hAnsi="Cambria Math"/>
                    </w:rPr>
                    <m:t>m</m:t>
                  </m:r>
                </m:sub>
              </m:sSub>
            </m:oMath>
            <w:r>
              <w:t xml:space="preserve"> against 0. If p&gt;0.05, compute Bayes factor with JZS prior (rsacle=0.707).</w:t>
            </w:r>
          </w:p>
        </w:tc>
        <w:tc>
          <w:tcPr>
            <w:tcW w:w="0" w:type="auto"/>
          </w:tcPr>
          <w:p w:rsidR="00963F2A" w:rsidRDefault="00963F2A"/>
        </w:tc>
      </w:tr>
      <w:tr w:rsidR="00963F2A">
        <w:tc>
          <w:tcPr>
            <w:tcW w:w="0" w:type="auto"/>
          </w:tcPr>
          <w:p w:rsidR="00963F2A" w:rsidRDefault="00FD1A5A">
            <w:pPr>
              <w:pStyle w:val="Compact"/>
            </w:pPr>
            <w:r>
              <w:t>Does metacognitive asymmetry extend to sub-stimulus features?</w:t>
            </w:r>
          </w:p>
        </w:tc>
        <w:tc>
          <w:tcPr>
            <w:tcW w:w="0" w:type="auto"/>
          </w:tcPr>
          <w:p w:rsidR="00963F2A" w:rsidRDefault="00FD1A5A">
            <w:pPr>
              <w:pStyle w:val="Compact"/>
            </w:pPr>
            <w:r>
              <w:t xml:space="preserve">Metacognitive asymmetry, measured as the area </w:t>
            </w:r>
            <w:r>
              <w:t>between the two response conditional ROC curves, follows the same direction as search asymmetry.</w:t>
            </w:r>
          </w:p>
        </w:tc>
        <w:tc>
          <w:tcPr>
            <w:tcW w:w="0" w:type="auto"/>
          </w:tcPr>
          <w:p w:rsidR="00963F2A" w:rsidRDefault="00FD1A5A">
            <w:pPr>
              <w:pStyle w:val="Compact"/>
            </w:pPr>
            <w:r>
              <w:t xml:space="preserve">320 included participants in each experiment </w:t>
            </w:r>
            <m:oMath>
              <m:r>
                <w:rPr>
                  <w:rFonts w:ascii="Cambria Math" w:hAnsi="Cambria Math"/>
                </w:rPr>
                <m:t>×</m:t>
              </m:r>
            </m:oMath>
            <w:r>
              <w:t xml:space="preserve"> 6 experiments. We will have 95% power to detect an effect size of 0.2.</w:t>
            </w:r>
          </w:p>
        </w:tc>
        <w:tc>
          <w:tcPr>
            <w:tcW w:w="0" w:type="auto"/>
          </w:tcPr>
          <w:p w:rsidR="00963F2A" w:rsidRDefault="00FD1A5A">
            <w:pPr>
              <w:pStyle w:val="Compact"/>
            </w:pPr>
            <w:r>
              <w:t>Conditioned on a significant effect for H</w:t>
            </w:r>
            <w:r>
              <w:t xml:space="preserve">1: T test on </w:t>
            </w:r>
            <m:oMath>
              <m:sSub>
                <m:sSubPr>
                  <m:ctrlPr>
                    <w:rPr>
                      <w:rFonts w:ascii="Cambria Math" w:hAnsi="Cambria Math"/>
                    </w:rPr>
                  </m:ctrlPr>
                </m:sSubPr>
                <m:e>
                  <m:r>
                    <w:rPr>
                      <w:rFonts w:ascii="Cambria Math" w:hAnsi="Cambria Math"/>
                    </w:rPr>
                    <m:t>Δ</m:t>
                  </m:r>
                </m:e>
                <m:sub>
                  <m:r>
                    <w:rPr>
                      <w:rFonts w:ascii="Cambria Math" w:hAnsi="Cambria Math"/>
                    </w:rPr>
                    <m:t>m</m:t>
                  </m:r>
                </m:sub>
              </m:sSub>
            </m:oMath>
            <w:r>
              <w:t xml:space="preserve"> against 0. If p&gt;0.05, compute Bayes factor with JZS prior (rscale=0.707).</w:t>
            </w:r>
          </w:p>
        </w:tc>
        <w:tc>
          <w:tcPr>
            <w:tcW w:w="0" w:type="auto"/>
          </w:tcPr>
          <w:p w:rsidR="00963F2A" w:rsidRDefault="00FD1A5A">
            <w:pPr>
              <w:pStyle w:val="Compact"/>
            </w:pPr>
            <w:r>
              <w:t>For each experiment separately, a significant result in the expected direction would be interpreted as metacognitive asymmetry for the specific stimulus feature. Ac</w:t>
            </w:r>
            <w:r>
              <w:t xml:space="preserve">ross all experiments, a series of significant results in the expected direction would be interpreted as supporting a common underlying mechanism for search and metacognitive asymmetries.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0,1</m:t>
                  </m:r>
                </m:sub>
              </m:sSub>
              <m:r>
                <w:rPr>
                  <w:rFonts w:ascii="Cambria Math" w:hAnsi="Cambria Math"/>
                </w:rPr>
                <m:t>≥10</m:t>
              </m:r>
            </m:oMath>
            <w:r>
              <w:t xml:space="preserve"> would be interpreted as indicating indistinguishable metac</w:t>
            </w:r>
            <w:r>
              <w:t>ognitive sensitivity for the two stimulus types.</w:t>
            </w:r>
          </w:p>
        </w:tc>
      </w:tr>
      <w:tr w:rsidR="00963F2A">
        <w:tc>
          <w:tcPr>
            <w:tcW w:w="0" w:type="auto"/>
          </w:tcPr>
          <w:p w:rsidR="00963F2A" w:rsidRDefault="00FD1A5A">
            <w:pPr>
              <w:pStyle w:val="Compact"/>
            </w:pPr>
            <w:r>
              <w:t>Is there a common source to metacognitive and search asymmetries?</w:t>
            </w:r>
          </w:p>
        </w:tc>
        <w:tc>
          <w:tcPr>
            <w:tcW w:w="0" w:type="auto"/>
          </w:tcPr>
          <w:p w:rsidR="00963F2A" w:rsidRDefault="00FD1A5A">
            <w:pPr>
              <w:pStyle w:val="Compact"/>
            </w:pPr>
            <w:r>
              <w:t>Individual differences in the direction and magnitude of search asymmetry positively covary with individual differences in the direction and magnitude of metacognitive asymmetry.</w:t>
            </w:r>
          </w:p>
        </w:tc>
        <w:tc>
          <w:tcPr>
            <w:tcW w:w="0" w:type="auto"/>
          </w:tcPr>
          <w:p w:rsidR="00963F2A" w:rsidRDefault="00FD1A5A">
            <w:pPr>
              <w:pStyle w:val="Compact"/>
            </w:pPr>
            <w:r>
              <w:t xml:space="preserve">320 included participants in each experiment </w:t>
            </w:r>
            <m:oMath>
              <m:r>
                <w:rPr>
                  <w:rFonts w:ascii="Cambria Math" w:hAnsi="Cambria Math"/>
                </w:rPr>
                <m:t>×</m:t>
              </m:r>
            </m:oMath>
            <w:r>
              <w:t xml:space="preserve"> 6 experiments. We will have 95</w:t>
            </w:r>
            <w:r>
              <w:t xml:space="preserve">% power to detect a correlation of 0.2 at the single experiment level, and a </w:t>
            </w:r>
            <w:r>
              <w:lastRenderedPageBreak/>
              <w:t>correlation of 0.08 pooled across all six experiments.</w:t>
            </w:r>
          </w:p>
        </w:tc>
        <w:tc>
          <w:tcPr>
            <w:tcW w:w="0" w:type="auto"/>
          </w:tcPr>
          <w:p w:rsidR="00963F2A" w:rsidRDefault="00FD1A5A">
            <w:pPr>
              <w:pStyle w:val="Compact"/>
            </w:pPr>
            <w:r>
              <w:lastRenderedPageBreak/>
              <w:t xml:space="preserve">Pearson correlation between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at the single experiment level, and pooled across all six experiments </w:t>
            </w:r>
            <w:r>
              <w:t xml:space="preserve">after regressing out the effect of experiment on both measures. IF p&gt;0.05, a </w:t>
            </w:r>
            <w:r>
              <w:lastRenderedPageBreak/>
              <w:t>compute Bayes factor with a shifted, scaled beta distribution (a=3, b=3).</w:t>
            </w:r>
          </w:p>
        </w:tc>
        <w:tc>
          <w:tcPr>
            <w:tcW w:w="0" w:type="auto"/>
          </w:tcPr>
          <w:p w:rsidR="00963F2A" w:rsidRDefault="00FD1A5A">
            <w:pPr>
              <w:pStyle w:val="Compact"/>
            </w:pPr>
            <w:r>
              <w:lastRenderedPageBreak/>
              <w:t xml:space="preserve">For each experiment separately, a significant correlation would be interpreted as a common cause for the </w:t>
            </w:r>
            <w:r>
              <w:t xml:space="preserve">two asymmetries for the particular stimulus pair. Pooled across all six experiments, a significant correlation would be </w:t>
            </w:r>
            <w:r>
              <w:lastRenderedPageBreak/>
              <w:t xml:space="preserve">interpreted as reflecting a common cause for search and metacognitive asymmetries generally.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0,1</m:t>
                  </m:r>
                </m:sub>
              </m:sSub>
              <m:r>
                <w:rPr>
                  <w:rFonts w:ascii="Cambria Math" w:hAnsi="Cambria Math"/>
                </w:rPr>
                <m:t>≥10</m:t>
              </m:r>
            </m:oMath>
            <w:r>
              <w:t xml:space="preserve"> would be interpreted as evidence</w:t>
            </w:r>
            <w:r>
              <w:t xml:space="preserve"> against a common mechanism underlying the two asymmetries.</w:t>
            </w:r>
          </w:p>
        </w:tc>
      </w:tr>
      <w:tr w:rsidR="00963F2A">
        <w:trPr>
          <w:cnfStyle w:val="010000000000" w:firstRow="0" w:lastRow="1" w:firstColumn="0" w:lastColumn="0" w:oddVBand="0" w:evenVBand="0" w:oddHBand="0" w:evenHBand="0" w:firstRowFirstColumn="0" w:firstRowLastColumn="0" w:lastRowFirstColumn="0" w:lastRowLastColumn="0"/>
        </w:trPr>
        <w:tc>
          <w:tcPr>
            <w:tcW w:w="0" w:type="auto"/>
          </w:tcPr>
          <w:p w:rsidR="00963F2A" w:rsidRDefault="00FD1A5A">
            <w:pPr>
              <w:pStyle w:val="Compact"/>
            </w:pPr>
            <w:r>
              <w:lastRenderedPageBreak/>
              <w:t>Is there a common source to search asymmetries at the feature and stimulus levels?</w:t>
            </w:r>
          </w:p>
        </w:tc>
        <w:tc>
          <w:tcPr>
            <w:tcW w:w="0" w:type="auto"/>
          </w:tcPr>
          <w:p w:rsidR="00963F2A" w:rsidRDefault="00FD1A5A">
            <w:pPr>
              <w:pStyle w:val="Compact"/>
            </w:pPr>
            <w:r>
              <w:t>Individual differences in the direction and magnitude of search asymmetry for the two stimulus assignments posit</w:t>
            </w:r>
            <w:r>
              <w:t>ively covary with individual differences in the direction and magnitude of the relative difference in search slope for ‘target absent’ and ‘target absent’ responses.</w:t>
            </w:r>
          </w:p>
        </w:tc>
        <w:tc>
          <w:tcPr>
            <w:tcW w:w="0" w:type="auto"/>
          </w:tcPr>
          <w:p w:rsidR="00963F2A" w:rsidRDefault="00FD1A5A">
            <w:pPr>
              <w:pStyle w:val="Compact"/>
            </w:pPr>
            <w:r>
              <w:t xml:space="preserve">320 included participants in each experiment </w:t>
            </w:r>
            <m:oMath>
              <m:r>
                <w:rPr>
                  <w:rFonts w:ascii="Cambria Math" w:hAnsi="Cambria Math"/>
                </w:rPr>
                <m:t>×</m:t>
              </m:r>
            </m:oMath>
            <w:r>
              <w:t xml:space="preserve"> 6 experiments. We will have 95% power to de</w:t>
            </w:r>
            <w:r>
              <w:t>tect a correlation of 0.2 at the single experiment level, and a correlation of 0.08 pooled across all six experiments.</w:t>
            </w:r>
          </w:p>
        </w:tc>
        <w:tc>
          <w:tcPr>
            <w:tcW w:w="0" w:type="auto"/>
          </w:tcPr>
          <w:p w:rsidR="00963F2A" w:rsidRDefault="00FD1A5A">
            <w:pPr>
              <w:pStyle w:val="Compact"/>
            </w:pPr>
            <w:r>
              <w:t xml:space="preserve">Pearson correlation between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at the single experiment level, and pooled across all six experiments after regress</w:t>
            </w:r>
            <w:r>
              <w:t>ing out the effect of experiment on both measures. IF p&gt;0.05, a compute Bayes factor with a shifted, scaled beta distribution (a=3, b=3).</w:t>
            </w:r>
          </w:p>
        </w:tc>
        <w:tc>
          <w:tcPr>
            <w:tcW w:w="0" w:type="auto"/>
          </w:tcPr>
          <w:p w:rsidR="00963F2A" w:rsidRDefault="00FD1A5A">
            <w:pPr>
              <w:pStyle w:val="Compact"/>
            </w:pPr>
            <w:r>
              <w:t>For each experiment separately, a significant correlation would be interpreted as a common cause for the two asymmetri</w:t>
            </w:r>
            <w:r>
              <w:t xml:space="preserve">es for the particular stimulus pair. Pooled across all six experiments, a significant correlation would be interpreted as reflecting a common cause for feature-level and stimulus-level search asymmetries generally.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0,1</m:t>
                  </m:r>
                </m:sub>
              </m:sSub>
              <m:r>
                <w:rPr>
                  <w:rFonts w:ascii="Cambria Math" w:hAnsi="Cambria Math"/>
                </w:rPr>
                <m:t>≥10</m:t>
              </m:r>
            </m:oMath>
            <w:r>
              <w:t xml:space="preserve"> would be interpreted as eviden</w:t>
            </w:r>
            <w:r>
              <w:t>ce against a common mechanism underlying the two asymmetries.</w:t>
            </w:r>
          </w:p>
        </w:tc>
      </w:tr>
    </w:tbl>
    <w:p w:rsidR="00963F2A" w:rsidRDefault="00FD1A5A">
      <w:r>
        <w:br w:type="page"/>
      </w:r>
    </w:p>
    <w:p w:rsidR="00963F2A" w:rsidRDefault="00FD1A5A">
      <w:pPr>
        <w:pStyle w:val="Heading1"/>
      </w:pPr>
      <w:bookmarkStart w:id="16" w:name="references"/>
      <w:r>
        <w:lastRenderedPageBreak/>
        <w:t>References</w:t>
      </w:r>
      <w:bookmarkEnd w:id="16"/>
    </w:p>
    <w:p w:rsidR="00963F2A" w:rsidRDefault="00FD1A5A">
      <w:pPr>
        <w:pStyle w:val="Bibliography"/>
      </w:pPr>
      <w:bookmarkStart w:id="17" w:name="ref-R-papaja"/>
      <w:bookmarkStart w:id="18" w:name="refs"/>
      <w:r>
        <w:t xml:space="preserve">Aust, F., &amp; Barth, M. (2020). </w:t>
      </w:r>
      <w:r>
        <w:rPr>
          <w:i/>
        </w:rPr>
        <w:t>papaja: Create APA manuscripts with R Markdown</w:t>
      </w:r>
      <w:r>
        <w:t xml:space="preserve">. Retrieved from </w:t>
      </w:r>
      <w:hyperlink r:id="rId14">
        <w:r>
          <w:rPr>
            <w:rStyle w:val="Hyperlink"/>
          </w:rPr>
          <w:t>https://github.com/crsh/papaja</w:t>
        </w:r>
      </w:hyperlink>
    </w:p>
    <w:p w:rsidR="00963F2A" w:rsidRDefault="00FD1A5A">
      <w:pPr>
        <w:pStyle w:val="Bibliography"/>
      </w:pPr>
      <w:bookmarkStart w:id="19" w:name="ref-R-brms_b"/>
      <w:bookmarkEnd w:id="17"/>
      <w:r>
        <w:t xml:space="preserve">Bürkner, P.-C. (2018). Advanced Bayesian multilevel modeling with the R package brms. </w:t>
      </w:r>
      <w:r>
        <w:rPr>
          <w:i/>
        </w:rPr>
        <w:t>The R Journal</w:t>
      </w:r>
      <w:r>
        <w:t xml:space="preserve">, </w:t>
      </w:r>
      <w:r>
        <w:rPr>
          <w:i/>
        </w:rPr>
        <w:t>10</w:t>
      </w:r>
      <w:r>
        <w:t xml:space="preserve">(1), 395–411. </w:t>
      </w:r>
      <w:hyperlink r:id="rId15">
        <w:r>
          <w:rPr>
            <w:rStyle w:val="Hyperlink"/>
          </w:rPr>
          <w:t>https://doi.org/10.32614/RJ-2018-017</w:t>
        </w:r>
      </w:hyperlink>
    </w:p>
    <w:p w:rsidR="00963F2A" w:rsidRDefault="00FD1A5A">
      <w:pPr>
        <w:pStyle w:val="Bibliography"/>
      </w:pPr>
      <w:bookmarkStart w:id="20" w:name="ref-R-pwr"/>
      <w:bookmarkEnd w:id="19"/>
      <w:r>
        <w:t xml:space="preserve">Champely, S. (2020). </w:t>
      </w:r>
      <w:r>
        <w:rPr>
          <w:i/>
        </w:rPr>
        <w:t xml:space="preserve">Pwr: Basic functions for </w:t>
      </w:r>
      <w:r>
        <w:rPr>
          <w:i/>
        </w:rPr>
        <w:t>power analysis</w:t>
      </w:r>
      <w:r>
        <w:t xml:space="preserve">. Retrieved from </w:t>
      </w:r>
      <w:hyperlink r:id="rId16">
        <w:r>
          <w:rPr>
            <w:rStyle w:val="Hyperlink"/>
          </w:rPr>
          <w:t>https://CRAN.R-project.org/package=pwr</w:t>
        </w:r>
      </w:hyperlink>
    </w:p>
    <w:p w:rsidR="00963F2A" w:rsidRDefault="00FD1A5A">
      <w:pPr>
        <w:pStyle w:val="Bibliography"/>
      </w:pPr>
      <w:bookmarkStart w:id="21" w:name="ref-coldren2000asymmetries"/>
      <w:bookmarkEnd w:id="20"/>
      <w:r>
        <w:t xml:space="preserve">Coldren, J. T., &amp; Haaf, R. A. (2000). Asymmetries in infants’ attention to the presence or absence of features. </w:t>
      </w:r>
      <w:r>
        <w:rPr>
          <w:i/>
        </w:rPr>
        <w:t>The Journal of G</w:t>
      </w:r>
      <w:r>
        <w:rPr>
          <w:i/>
        </w:rPr>
        <w:t>enetic Psychology</w:t>
      </w:r>
      <w:r>
        <w:t xml:space="preserve">, </w:t>
      </w:r>
      <w:r>
        <w:rPr>
          <w:i/>
        </w:rPr>
        <w:t>161</w:t>
      </w:r>
      <w:r>
        <w:t>(4), 420–434.</w:t>
      </w:r>
    </w:p>
    <w:p w:rsidR="00963F2A" w:rsidRDefault="00FD1A5A">
      <w:pPr>
        <w:pStyle w:val="Bibliography"/>
      </w:pPr>
      <w:bookmarkStart w:id="22" w:name="ref-de1988knowing"/>
      <w:bookmarkEnd w:id="21"/>
      <w:r>
        <w:t xml:space="preserve">De Cornulier, B. (1988). Knowing whether, knowing who, and epistemic closure. </w:t>
      </w:r>
      <w:r>
        <w:rPr>
          <w:i/>
        </w:rPr>
        <w:t>Questions and Questioning</w:t>
      </w:r>
      <w:r>
        <w:t>, 182–192.</w:t>
      </w:r>
    </w:p>
    <w:p w:rsidR="00963F2A" w:rsidRDefault="00FD1A5A">
      <w:pPr>
        <w:pStyle w:val="Bibliography"/>
      </w:pPr>
      <w:bookmarkStart w:id="23" w:name="ref-de2015jspsych"/>
      <w:bookmarkEnd w:id="22"/>
      <w:r>
        <w:t>De Leeuw, J. R. (2015). JsPsych: A javascript library for creating behavioral experiments in a web browser</w:t>
      </w:r>
      <w:r>
        <w:t xml:space="preserve">. </w:t>
      </w:r>
      <w:r>
        <w:rPr>
          <w:i/>
        </w:rPr>
        <w:t>Behavior Research Methods</w:t>
      </w:r>
      <w:r>
        <w:t xml:space="preserve">, </w:t>
      </w:r>
      <w:r>
        <w:rPr>
          <w:i/>
        </w:rPr>
        <w:t>47</w:t>
      </w:r>
      <w:r>
        <w:t>(1), 1–12.</w:t>
      </w:r>
    </w:p>
    <w:p w:rsidR="00963F2A" w:rsidRDefault="00FD1A5A">
      <w:pPr>
        <w:pStyle w:val="Bibliography"/>
      </w:pPr>
      <w:bookmarkStart w:id="24" w:name="ref-frith1974acurious"/>
      <w:bookmarkEnd w:id="23"/>
      <w:r>
        <w:t xml:space="preserve">Frith, U. (1974). Acurious effect with reversed letters explained by a theory of schema. </w:t>
      </w:r>
      <w:r>
        <w:rPr>
          <w:i/>
        </w:rPr>
        <w:t>Perception &amp; Psychophysics</w:t>
      </w:r>
      <w:r>
        <w:t xml:space="preserve">, </w:t>
      </w:r>
      <w:r>
        <w:rPr>
          <w:i/>
        </w:rPr>
        <w:t>16</w:t>
      </w:r>
      <w:r>
        <w:t>(1), 113–116.</w:t>
      </w:r>
    </w:p>
    <w:p w:rsidR="00963F2A" w:rsidRDefault="00FD1A5A">
      <w:pPr>
        <w:pStyle w:val="Bibliography"/>
      </w:pPr>
      <w:bookmarkStart w:id="25" w:name="ref-hearst1991psychology"/>
      <w:bookmarkEnd w:id="24"/>
      <w:r>
        <w:t xml:space="preserve">Hearst, E. (1991). Psychology and nothing. </w:t>
      </w:r>
      <w:r>
        <w:rPr>
          <w:i/>
        </w:rPr>
        <w:t>American Scientist</w:t>
      </w:r>
      <w:r>
        <w:t xml:space="preserve">, </w:t>
      </w:r>
      <w:r>
        <w:rPr>
          <w:i/>
        </w:rPr>
        <w:t>79</w:t>
      </w:r>
      <w:r>
        <w:t>(5), 432–443.</w:t>
      </w:r>
    </w:p>
    <w:p w:rsidR="00963F2A" w:rsidRDefault="00FD1A5A">
      <w:pPr>
        <w:pStyle w:val="Bibliography"/>
      </w:pPr>
      <w:bookmarkStart w:id="26" w:name="ref-kanai2010subjective"/>
      <w:bookmarkEnd w:id="25"/>
      <w:r>
        <w:t xml:space="preserve">Kanai, R., Walsh, V., &amp; Tseng, C.-h. (2010). Subjective discriminability of invisibility: A framework for distinguishing perceptual and attentional failures of awareness. </w:t>
      </w:r>
      <w:r>
        <w:rPr>
          <w:i/>
        </w:rPr>
        <w:t>Consciousness and Cognition</w:t>
      </w:r>
      <w:r>
        <w:t xml:space="preserve">, </w:t>
      </w:r>
      <w:r>
        <w:rPr>
          <w:i/>
        </w:rPr>
        <w:t>19</w:t>
      </w:r>
      <w:r>
        <w:t>(4), 1045–1057.</w:t>
      </w:r>
    </w:p>
    <w:p w:rsidR="00963F2A" w:rsidRDefault="00FD1A5A">
      <w:pPr>
        <w:pStyle w:val="Bibliography"/>
      </w:pPr>
      <w:bookmarkStart w:id="27" w:name="ref-kellij2018foundations"/>
      <w:bookmarkEnd w:id="26"/>
      <w:r>
        <w:lastRenderedPageBreak/>
        <w:t>Kellij, S., Fahrenfort, J., Lau, H., P</w:t>
      </w:r>
      <w:r>
        <w:t>eters, M. A., &amp; Odegaard, B. (2018). The foundations of introspective access: How the relative precision of target encoding influences metacognitive performance.</w:t>
      </w:r>
    </w:p>
    <w:p w:rsidR="00963F2A" w:rsidRDefault="00FD1A5A">
      <w:pPr>
        <w:pStyle w:val="Bibliography"/>
      </w:pPr>
      <w:bookmarkStart w:id="28" w:name="ref-lange2015just"/>
      <w:bookmarkEnd w:id="27"/>
      <w:r>
        <w:t>Lange, K., Kühn, S., &amp; Filevich, E. (2015). " Just another tool for online studies”(JATOS): An</w:t>
      </w:r>
      <w:r>
        <w:t xml:space="preserve"> easy solution for setup and management of web servers supporting online studies. </w:t>
      </w:r>
      <w:r>
        <w:rPr>
          <w:i/>
        </w:rPr>
        <w:t>PloS One</w:t>
      </w:r>
      <w:r>
        <w:t xml:space="preserve">, </w:t>
      </w:r>
      <w:r>
        <w:rPr>
          <w:i/>
        </w:rPr>
        <w:t>10</w:t>
      </w:r>
      <w:r>
        <w:t>(6), e0130834.</w:t>
      </w:r>
    </w:p>
    <w:p w:rsidR="00963F2A" w:rsidRDefault="00FD1A5A">
      <w:pPr>
        <w:pStyle w:val="Bibliography"/>
      </w:pPr>
      <w:bookmarkStart w:id="29" w:name="ref-levitt1971transformed"/>
      <w:bookmarkEnd w:id="28"/>
      <w:r>
        <w:t xml:space="preserve">Levitt, H. (1971). Transformed up-down methods in psychoacoustics. </w:t>
      </w:r>
      <w:r>
        <w:rPr>
          <w:i/>
        </w:rPr>
        <w:t>The Journal of the Acoustical Society of America</w:t>
      </w:r>
      <w:r>
        <w:t xml:space="preserve">, </w:t>
      </w:r>
      <w:r>
        <w:rPr>
          <w:i/>
        </w:rPr>
        <w:t>49</w:t>
      </w:r>
      <w:r>
        <w:t>(2B), 467–477.</w:t>
      </w:r>
    </w:p>
    <w:p w:rsidR="00963F2A" w:rsidRDefault="00FD1A5A">
      <w:pPr>
        <w:pStyle w:val="Bibliography"/>
      </w:pPr>
      <w:bookmarkStart w:id="30" w:name="ref-mazor2020distinct"/>
      <w:bookmarkEnd w:id="29"/>
      <w:r>
        <w:t>Mazor, M., Fr</w:t>
      </w:r>
      <w:r>
        <w:t xml:space="preserve">iston, K. J., &amp; Fleming, S. M. (2020). Distinct neural contributions to metacognition for detecting, but not discriminating visual stimuli. </w:t>
      </w:r>
      <w:r>
        <w:rPr>
          <w:i/>
        </w:rPr>
        <w:t>Elife</w:t>
      </w:r>
      <w:r>
        <w:t xml:space="preserve">, </w:t>
      </w:r>
      <w:r>
        <w:rPr>
          <w:i/>
        </w:rPr>
        <w:t>9</w:t>
      </w:r>
      <w:r>
        <w:t>, e53900.</w:t>
      </w:r>
    </w:p>
    <w:p w:rsidR="00963F2A" w:rsidRDefault="00FD1A5A">
      <w:pPr>
        <w:pStyle w:val="Bibliography"/>
      </w:pPr>
      <w:bookmarkStart w:id="31" w:name="ref-mazor2019novel"/>
      <w:bookmarkEnd w:id="30"/>
      <w:r>
        <w:t xml:space="preserve">Mazor, M., Mazor, N., &amp; Mukamel, R. (2019). A novel tool for time-locking study plans to results. </w:t>
      </w:r>
      <w:r>
        <w:rPr>
          <w:i/>
        </w:rPr>
        <w:t>European Journal of Neuroscience</w:t>
      </w:r>
      <w:r>
        <w:t xml:space="preserve">, </w:t>
      </w:r>
      <w:r>
        <w:rPr>
          <w:i/>
        </w:rPr>
        <w:t>49</w:t>
      </w:r>
      <w:r>
        <w:t>(9), 1149–1156.</w:t>
      </w:r>
    </w:p>
    <w:p w:rsidR="00963F2A" w:rsidRDefault="00FD1A5A">
      <w:pPr>
        <w:pStyle w:val="Bibliography"/>
      </w:pPr>
      <w:bookmarkStart w:id="32" w:name="ref-mccarthy2015p5"/>
      <w:bookmarkEnd w:id="31"/>
      <w:r>
        <w:t xml:space="preserve">McCarthy, L. (2015). P5. Js. </w:t>
      </w:r>
      <w:r>
        <w:rPr>
          <w:i/>
        </w:rPr>
        <w:t>URL: Https://P5js. Org</w:t>
      </w:r>
      <w:r>
        <w:t xml:space="preserve">, </w:t>
      </w:r>
      <w:r>
        <w:rPr>
          <w:i/>
        </w:rPr>
        <w:t>3</w:t>
      </w:r>
      <w:r>
        <w:t>.</w:t>
      </w:r>
    </w:p>
    <w:p w:rsidR="00963F2A" w:rsidRDefault="00FD1A5A">
      <w:pPr>
        <w:pStyle w:val="Bibliography"/>
      </w:pPr>
      <w:bookmarkStart w:id="33" w:name="ref-meuwese2014subjective"/>
      <w:bookmarkEnd w:id="32"/>
      <w:r>
        <w:t xml:space="preserve">Meuwese, J. D., Loon, A. M. van, Lamme, V. A., &amp; Fahrenfort, J. J. (2014). The subjective experience of object recognition: Comparing metacognition </w:t>
      </w:r>
      <w:r>
        <w:t xml:space="preserve">for object detection and object categorization. </w:t>
      </w:r>
      <w:r>
        <w:rPr>
          <w:i/>
        </w:rPr>
        <w:t>Attention, Perception, &amp; Psychophysics</w:t>
      </w:r>
      <w:r>
        <w:t xml:space="preserve">, </w:t>
      </w:r>
      <w:r>
        <w:rPr>
          <w:i/>
        </w:rPr>
        <w:t>76</w:t>
      </w:r>
      <w:r>
        <w:t>(4), 1057–1068.</w:t>
      </w:r>
    </w:p>
    <w:p w:rsidR="00963F2A" w:rsidRDefault="00FD1A5A">
      <w:pPr>
        <w:pStyle w:val="Bibliography"/>
      </w:pPr>
      <w:bookmarkStart w:id="34" w:name="ref-R-BayesFactor"/>
      <w:bookmarkEnd w:id="33"/>
      <w:r>
        <w:t xml:space="preserve">Morey, R. D., &amp; Rouder, J. N. (2018). </w:t>
      </w:r>
      <w:r>
        <w:rPr>
          <w:i/>
        </w:rPr>
        <w:t>BayesFactor: Computation of bayes factors for common designs</w:t>
      </w:r>
      <w:r>
        <w:t xml:space="preserve">. Retrieved from </w:t>
      </w:r>
      <w:hyperlink r:id="rId17">
        <w:r>
          <w:rPr>
            <w:rStyle w:val="Hyperlink"/>
          </w:rPr>
          <w:t>https://CRAN.R-project.org/package=BayesFactor</w:t>
        </w:r>
      </w:hyperlink>
    </w:p>
    <w:p w:rsidR="00963F2A" w:rsidRDefault="00FD1A5A">
      <w:pPr>
        <w:pStyle w:val="Bibliography"/>
      </w:pPr>
      <w:bookmarkStart w:id="35" w:name="ref-morey2015package"/>
      <w:bookmarkEnd w:id="34"/>
      <w:r>
        <w:t xml:space="preserve">Morey, R. D., Rouder, J. N., Jamil, T., &amp; Morey, M. R. D. (2015). Package “bayesfactor”. </w:t>
      </w:r>
      <w:r>
        <w:rPr>
          <w:i/>
        </w:rPr>
        <w:t>URLh Http://Cran/R-Projectorg/Web/Packages/BayesFactor/BayesFactor Pdf I (Accessed 1006 15)</w:t>
      </w:r>
      <w:r>
        <w:t>.</w:t>
      </w:r>
    </w:p>
    <w:p w:rsidR="00963F2A" w:rsidRDefault="00FD1A5A">
      <w:pPr>
        <w:pStyle w:val="Bibliography"/>
      </w:pPr>
      <w:bookmarkStart w:id="36" w:name="ref-newman1980feature"/>
      <w:bookmarkEnd w:id="35"/>
      <w:r>
        <w:lastRenderedPageBreak/>
        <w:t xml:space="preserve">Newman, J. P., Wolff, W. T., &amp; Hearst, E. (1980). The feature-positive effect in adult human subjects. </w:t>
      </w:r>
      <w:r>
        <w:rPr>
          <w:i/>
        </w:rPr>
        <w:t>Journal of Experimental Psychology: Human Learning and Memor</w:t>
      </w:r>
      <w:r>
        <w:rPr>
          <w:i/>
        </w:rPr>
        <w:t>y</w:t>
      </w:r>
      <w:r>
        <w:t xml:space="preserve">, </w:t>
      </w:r>
      <w:r>
        <w:rPr>
          <w:i/>
        </w:rPr>
        <w:t>6</w:t>
      </w:r>
      <w:r>
        <w:t>(5), 630.</w:t>
      </w:r>
    </w:p>
    <w:p w:rsidR="00963F2A" w:rsidRDefault="00FD1A5A">
      <w:pPr>
        <w:pStyle w:val="Bibliography"/>
      </w:pPr>
      <w:bookmarkStart w:id="37" w:name="ref-oaksford2002contrast"/>
      <w:bookmarkEnd w:id="36"/>
      <w:r>
        <w:t xml:space="preserve">Oaksford, M. (2002). Contrast classes and matching bias as explanations of the effects of negation on conditional reasoning. </w:t>
      </w:r>
      <w:r>
        <w:rPr>
          <w:i/>
        </w:rPr>
        <w:t>Thinking &amp; Reasoning</w:t>
      </w:r>
      <w:r>
        <w:t xml:space="preserve">, </w:t>
      </w:r>
      <w:r>
        <w:rPr>
          <w:i/>
        </w:rPr>
        <w:t>8</w:t>
      </w:r>
      <w:r>
        <w:t>(2), 135–151.</w:t>
      </w:r>
    </w:p>
    <w:p w:rsidR="00963F2A" w:rsidRDefault="00FD1A5A">
      <w:pPr>
        <w:pStyle w:val="Bibliography"/>
      </w:pPr>
      <w:bookmarkStart w:id="38" w:name="ref-oaksford2001probabilistic"/>
      <w:bookmarkEnd w:id="37"/>
      <w:r>
        <w:t>Oaksford, M., &amp; Chater, N. (2001). The probabilistic approach to human reasoning</w:t>
      </w:r>
      <w:r>
        <w:t xml:space="preserve">. </w:t>
      </w:r>
      <w:r>
        <w:rPr>
          <w:i/>
        </w:rPr>
        <w:t>Trends in Cognitive Sciences</w:t>
      </w:r>
      <w:r>
        <w:t xml:space="preserve">, </w:t>
      </w:r>
      <w:r>
        <w:rPr>
          <w:i/>
        </w:rPr>
        <w:t>5</w:t>
      </w:r>
      <w:r>
        <w:t>(8), 349–357.</w:t>
      </w:r>
    </w:p>
    <w:p w:rsidR="00963F2A" w:rsidRDefault="00FD1A5A">
      <w:pPr>
        <w:pStyle w:val="Bibliography"/>
      </w:pPr>
      <w:bookmarkStart w:id="39" w:name="ref-R-base"/>
      <w:bookmarkEnd w:id="38"/>
      <w:r>
        <w:t xml:space="preserve">R Core Team. (2019). </w:t>
      </w:r>
      <w:r>
        <w:rPr>
          <w:i/>
        </w:rPr>
        <w:t>R: A language and environment for statistical computing</w:t>
      </w:r>
      <w:r>
        <w:t xml:space="preserve">. Vienna, Austria: R Foundation for Statistical Computing. Retrieved from </w:t>
      </w:r>
      <w:hyperlink r:id="rId18">
        <w:r>
          <w:rPr>
            <w:rStyle w:val="Hyperlink"/>
          </w:rPr>
          <w:t>https://www.R</w:t>
        </w:r>
        <w:r>
          <w:rPr>
            <w:rStyle w:val="Hyperlink"/>
          </w:rPr>
          <w:t>-project.org/</w:t>
        </w:r>
      </w:hyperlink>
    </w:p>
    <w:p w:rsidR="00963F2A" w:rsidRDefault="00FD1A5A">
      <w:pPr>
        <w:pStyle w:val="Bibliography"/>
      </w:pPr>
      <w:bookmarkStart w:id="40" w:name="ref-R-broom"/>
      <w:bookmarkEnd w:id="39"/>
      <w:r>
        <w:t xml:space="preserve">Robinson, D., &amp; Hayes, A. (2020). </w:t>
      </w:r>
      <w:r>
        <w:rPr>
          <w:i/>
        </w:rPr>
        <w:t>Broom: Convert statistical analysis objects into tidy tibbles</w:t>
      </w:r>
      <w:r>
        <w:t xml:space="preserve">. Retrieved from </w:t>
      </w:r>
      <w:hyperlink r:id="rId19">
        <w:r>
          <w:rPr>
            <w:rStyle w:val="Hyperlink"/>
          </w:rPr>
          <w:t>https://CRAN.R-project.org/package=broom</w:t>
        </w:r>
      </w:hyperlink>
    </w:p>
    <w:p w:rsidR="00963F2A" w:rsidRDefault="00FD1A5A">
      <w:pPr>
        <w:pStyle w:val="Bibliography"/>
      </w:pPr>
      <w:bookmarkStart w:id="41" w:name="ref-sainsbury1971feature"/>
      <w:bookmarkEnd w:id="40"/>
      <w:r>
        <w:t>Sainsbury, R. (1971). The “fe</w:t>
      </w:r>
      <w:r>
        <w:t xml:space="preserve">ature positive effect” and simultaneous discrimination learning. </w:t>
      </w:r>
      <w:r>
        <w:rPr>
          <w:i/>
        </w:rPr>
        <w:t>Journal of Experimental Child Psychology</w:t>
      </w:r>
      <w:r>
        <w:t xml:space="preserve">, </w:t>
      </w:r>
      <w:r>
        <w:rPr>
          <w:i/>
        </w:rPr>
        <w:t>11</w:t>
      </w:r>
      <w:r>
        <w:t>(3), 347–356.</w:t>
      </w:r>
    </w:p>
    <w:p w:rsidR="00963F2A" w:rsidRDefault="00FD1A5A">
      <w:pPr>
        <w:pStyle w:val="Bibliography"/>
      </w:pPr>
      <w:bookmarkStart w:id="42" w:name="ref-takeda2000inhibitory"/>
      <w:bookmarkEnd w:id="41"/>
      <w:r>
        <w:t xml:space="preserve">Takeda, Y., &amp; Yagi, A. (2000). Inhibitory tagging in visual search can be found if search stimuli remain visible. </w:t>
      </w:r>
      <w:r>
        <w:rPr>
          <w:i/>
        </w:rPr>
        <w:t>Perception &amp; Psycho</w:t>
      </w:r>
      <w:r>
        <w:rPr>
          <w:i/>
        </w:rPr>
        <w:t>physics</w:t>
      </w:r>
      <w:r>
        <w:t xml:space="preserve">, </w:t>
      </w:r>
      <w:r>
        <w:rPr>
          <w:i/>
        </w:rPr>
        <w:t>62</w:t>
      </w:r>
      <w:r>
        <w:t>(5), 927–934.</w:t>
      </w:r>
    </w:p>
    <w:p w:rsidR="00963F2A" w:rsidRDefault="00FD1A5A">
      <w:pPr>
        <w:pStyle w:val="Bibliography"/>
      </w:pPr>
      <w:bookmarkStart w:id="43" w:name="ref-treisman1988feature"/>
      <w:bookmarkEnd w:id="42"/>
      <w:r>
        <w:t xml:space="preserve">Treisman, A., &amp; Gormican, S. (1988). Feature analysis in early vision: Evidence from search asymmetries. </w:t>
      </w:r>
      <w:r>
        <w:rPr>
          <w:i/>
        </w:rPr>
        <w:t>Psychological Review</w:t>
      </w:r>
      <w:r>
        <w:t xml:space="preserve">, </w:t>
      </w:r>
      <w:r>
        <w:rPr>
          <w:i/>
        </w:rPr>
        <w:t>95</w:t>
      </w:r>
      <w:r>
        <w:t>(1), 15.</w:t>
      </w:r>
    </w:p>
    <w:p w:rsidR="00963F2A" w:rsidRDefault="00FD1A5A">
      <w:pPr>
        <w:pStyle w:val="Bibliography"/>
      </w:pPr>
      <w:bookmarkStart w:id="44" w:name="ref-treisman1985search"/>
      <w:bookmarkEnd w:id="43"/>
      <w:r>
        <w:t>Treisman, A., &amp; Souther, J. (1985). Search asymmetry: A diagnostic for preattentive processin</w:t>
      </w:r>
      <w:r>
        <w:t xml:space="preserve">g of separable features. </w:t>
      </w:r>
      <w:r>
        <w:rPr>
          <w:i/>
        </w:rPr>
        <w:t>Journal of Experimental Psychology: General</w:t>
      </w:r>
      <w:r>
        <w:t xml:space="preserve">, </w:t>
      </w:r>
      <w:r>
        <w:rPr>
          <w:i/>
        </w:rPr>
        <w:t>114</w:t>
      </w:r>
      <w:r>
        <w:t>(3), 285.</w:t>
      </w:r>
    </w:p>
    <w:p w:rsidR="00963F2A" w:rsidRDefault="00FD1A5A">
      <w:pPr>
        <w:pStyle w:val="Bibliography"/>
      </w:pPr>
      <w:bookmarkStart w:id="45" w:name="ref-vincent2011search"/>
      <w:bookmarkEnd w:id="44"/>
      <w:r>
        <w:t xml:space="preserve">Vincent, B. T. (2011). Search asymmetries: Parallel processing of uncertain sensory information. </w:t>
      </w:r>
      <w:r>
        <w:rPr>
          <w:i/>
        </w:rPr>
        <w:t>Vision Research</w:t>
      </w:r>
      <w:r>
        <w:t xml:space="preserve">, </w:t>
      </w:r>
      <w:r>
        <w:rPr>
          <w:i/>
        </w:rPr>
        <w:t>51</w:t>
      </w:r>
      <w:r>
        <w:t>(15), 1741–1750.</w:t>
      </w:r>
    </w:p>
    <w:p w:rsidR="00963F2A" w:rsidRDefault="00FD1A5A">
      <w:pPr>
        <w:pStyle w:val="Bibliography"/>
      </w:pPr>
      <w:bookmarkStart w:id="46" w:name="ref-von1994visual"/>
      <w:bookmarkEnd w:id="45"/>
      <w:r>
        <w:lastRenderedPageBreak/>
        <w:t>Von Grünau, M., &amp; Dubé, S. (1994). Visua</w:t>
      </w:r>
      <w:r>
        <w:t xml:space="preserve">l search asymmetry for viewing direction. </w:t>
      </w:r>
      <w:r>
        <w:rPr>
          <w:i/>
        </w:rPr>
        <w:t>Perception &amp; Psychophysics</w:t>
      </w:r>
      <w:r>
        <w:t xml:space="preserve">, </w:t>
      </w:r>
      <w:r>
        <w:rPr>
          <w:i/>
        </w:rPr>
        <w:t>56</w:t>
      </w:r>
      <w:r>
        <w:t>(2), 211–220.</w:t>
      </w:r>
    </w:p>
    <w:p w:rsidR="00963F2A" w:rsidRDefault="00FD1A5A">
      <w:pPr>
        <w:pStyle w:val="Bibliography"/>
      </w:pPr>
      <w:bookmarkStart w:id="47" w:name="ref-walton1992nonfallacious"/>
      <w:bookmarkEnd w:id="46"/>
      <w:r>
        <w:t xml:space="preserve">Walton, D. (1992). Nonfallacious arguments from ignorance. </w:t>
      </w:r>
      <w:r>
        <w:rPr>
          <w:i/>
        </w:rPr>
        <w:t>American Philosophical Quarterly</w:t>
      </w:r>
      <w:r>
        <w:t xml:space="preserve">, </w:t>
      </w:r>
      <w:r>
        <w:rPr>
          <w:i/>
        </w:rPr>
        <w:t>29</w:t>
      </w:r>
      <w:r>
        <w:t>(4), 381–387.</w:t>
      </w:r>
    </w:p>
    <w:p w:rsidR="00963F2A" w:rsidRDefault="00FD1A5A">
      <w:pPr>
        <w:pStyle w:val="Bibliography"/>
      </w:pPr>
      <w:bookmarkStart w:id="48" w:name="ref-wang1994familiarity"/>
      <w:bookmarkEnd w:id="47"/>
      <w:r>
        <w:t>Wang, Q., Cavanagh, P., &amp; Green, M. (1994). Familiarity and p</w:t>
      </w:r>
      <w:r>
        <w:t xml:space="preserve">op-out in visual search. </w:t>
      </w:r>
      <w:r>
        <w:rPr>
          <w:i/>
        </w:rPr>
        <w:t>Perception &amp; Psychophysics</w:t>
      </w:r>
      <w:r>
        <w:t xml:space="preserve">, </w:t>
      </w:r>
      <w:r>
        <w:rPr>
          <w:i/>
        </w:rPr>
        <w:t>56</w:t>
      </w:r>
      <w:r>
        <w:t>(5), 495–500.</w:t>
      </w:r>
    </w:p>
    <w:p w:rsidR="00963F2A" w:rsidRDefault="00FD1A5A">
      <w:pPr>
        <w:pStyle w:val="Bibliography"/>
      </w:pPr>
      <w:bookmarkStart w:id="49" w:name="ref-R-ggplot2"/>
      <w:bookmarkEnd w:id="48"/>
      <w:r>
        <w:t xml:space="preserve">Wickham, H. (2016). </w:t>
      </w:r>
      <w:r>
        <w:rPr>
          <w:i/>
        </w:rPr>
        <w:t>Ggplot2: Elegant graphics for data analysis</w:t>
      </w:r>
      <w:r>
        <w:t xml:space="preserve">. Springer-Verlag New York. Retrieved from </w:t>
      </w:r>
      <w:hyperlink r:id="rId20">
        <w:r>
          <w:rPr>
            <w:rStyle w:val="Hyperlink"/>
          </w:rPr>
          <w:t>https://ggplot2.tidyverse.org</w:t>
        </w:r>
      </w:hyperlink>
    </w:p>
    <w:p w:rsidR="00963F2A" w:rsidRDefault="00FD1A5A">
      <w:pPr>
        <w:pStyle w:val="Bibliography"/>
      </w:pPr>
      <w:bookmarkStart w:id="50" w:name="ref-R-dplyr"/>
      <w:bookmarkEnd w:id="49"/>
      <w:r>
        <w:t xml:space="preserve">Wickham, H., François, R., Henry, L., &amp; Müller, K. (2020). </w:t>
      </w:r>
      <w:r>
        <w:rPr>
          <w:i/>
        </w:rPr>
        <w:t>Dplyr: A grammar of data manipulation</w:t>
      </w:r>
      <w:r>
        <w:t xml:space="preserve">. Retrieved from </w:t>
      </w:r>
      <w:hyperlink r:id="rId21">
        <w:r>
          <w:rPr>
            <w:rStyle w:val="Hyperlink"/>
          </w:rPr>
          <w:t>https://CRAN.R-project.org/package=dplyr</w:t>
        </w:r>
      </w:hyperlink>
    </w:p>
    <w:p w:rsidR="00963F2A" w:rsidRDefault="00FD1A5A">
      <w:pPr>
        <w:pStyle w:val="Bibliography"/>
      </w:pPr>
      <w:bookmarkStart w:id="51" w:name="ref-R-tidyr"/>
      <w:bookmarkEnd w:id="50"/>
      <w:r>
        <w:t xml:space="preserve">Wickham, H., &amp; Henry, L. (2020). </w:t>
      </w:r>
      <w:r>
        <w:rPr>
          <w:i/>
        </w:rPr>
        <w:t>Tidyr: Ti</w:t>
      </w:r>
      <w:r>
        <w:rPr>
          <w:i/>
        </w:rPr>
        <w:t>dy messy data</w:t>
      </w:r>
      <w:r>
        <w:t xml:space="preserve">. Retrieved from </w:t>
      </w:r>
      <w:hyperlink r:id="rId22">
        <w:r>
          <w:rPr>
            <w:rStyle w:val="Hyperlink"/>
          </w:rPr>
          <w:t>https://CRAN.R-project.org/package=tidyr</w:t>
        </w:r>
      </w:hyperlink>
    </w:p>
    <w:p w:rsidR="00963F2A" w:rsidRDefault="00FD1A5A">
      <w:pPr>
        <w:pStyle w:val="Bibliography"/>
      </w:pPr>
      <w:bookmarkStart w:id="52" w:name="ref-R-cowplot"/>
      <w:bookmarkEnd w:id="51"/>
      <w:r>
        <w:t xml:space="preserve">Wilke, C. O. (2019). </w:t>
      </w:r>
      <w:r>
        <w:rPr>
          <w:i/>
        </w:rPr>
        <w:t>Cowplot: Streamlined plot theme and plot annotations for ’ggplot2’</w:t>
      </w:r>
      <w:r>
        <w:t xml:space="preserve">. Retrieved from </w:t>
      </w:r>
      <w:hyperlink r:id="rId23">
        <w:r>
          <w:rPr>
            <w:rStyle w:val="Hyperlink"/>
          </w:rPr>
          <w:t>https://CRAN.R-project.org/package=cowplot</w:t>
        </w:r>
      </w:hyperlink>
    </w:p>
    <w:p w:rsidR="00963F2A" w:rsidRDefault="00FD1A5A">
      <w:pPr>
        <w:pStyle w:val="Bibliography"/>
      </w:pPr>
      <w:bookmarkStart w:id="53" w:name="ref-wolfe1998can"/>
      <w:bookmarkEnd w:id="52"/>
      <w:r>
        <w:t xml:space="preserve">Wolfe, J. M. (1998). What can 1 million trials tell us about visual search? </w:t>
      </w:r>
      <w:r>
        <w:rPr>
          <w:i/>
        </w:rPr>
        <w:t>Psychological Science</w:t>
      </w:r>
      <w:r>
        <w:t xml:space="preserve">, </w:t>
      </w:r>
      <w:r>
        <w:rPr>
          <w:i/>
        </w:rPr>
        <w:t>9</w:t>
      </w:r>
      <w:r>
        <w:t>(1), 33–39.</w:t>
      </w:r>
    </w:p>
    <w:bookmarkEnd w:id="18"/>
    <w:bookmarkEnd w:id="53"/>
    <w:p w:rsidR="00963F2A" w:rsidRDefault="00FD1A5A">
      <w:r>
        <w:br w:type="page"/>
      </w:r>
    </w:p>
    <w:p w:rsidR="00963F2A" w:rsidRDefault="00FD1A5A">
      <w:pPr>
        <w:pStyle w:val="Heading1"/>
      </w:pPr>
      <w:bookmarkStart w:id="54" w:name="supplementary-information"/>
      <w:r>
        <w:lastRenderedPageBreak/>
        <w:t>Supplementary information</w:t>
      </w:r>
      <w:bookmarkEnd w:id="54"/>
    </w:p>
    <w:p w:rsidR="00963F2A" w:rsidRDefault="00FD1A5A">
      <w:pPr>
        <w:pStyle w:val="Heading1"/>
      </w:pPr>
      <w:bookmarkStart w:id="55" w:name="pilot-data-and-analysis"/>
      <w:r>
        <w:t>Pilot data and analysis</w:t>
      </w:r>
      <w:bookmarkEnd w:id="55"/>
    </w:p>
    <w:p w:rsidR="00963F2A" w:rsidRDefault="00FD1A5A">
      <w:pPr>
        <w:pStyle w:val="Heading2"/>
      </w:pPr>
      <w:bookmarkStart w:id="56" w:name="pilot-experiment"/>
      <w:r>
        <w:t>Pilot Experiment</w:t>
      </w:r>
      <w:bookmarkEnd w:id="56"/>
    </w:p>
    <w:p w:rsidR="00963F2A" w:rsidRDefault="00FD1A5A">
      <w:pPr>
        <w:pStyle w:val="FirstParagraph"/>
      </w:pPr>
      <w:r>
        <w:t xml:space="preserve">30 participants were recruited from Prolific for our pilot experiment. We followed the procedure described in the Methods section, using </w:t>
      </w:r>
      <w:r>
        <w:rPr>
          <w:i/>
        </w:rPr>
        <w:t>Q</w:t>
      </w:r>
      <w:r>
        <w:t xml:space="preserve"> and </w:t>
      </w:r>
      <w:r>
        <w:rPr>
          <w:i/>
        </w:rPr>
        <w:t>O</w:t>
      </w:r>
      <w:r>
        <w:t xml:space="preserve"> as our stimuli. The experiment took about 10 minutes to complete. Subjects were paid £1.25 for</w:t>
      </w:r>
      <w:r>
        <w:t xml:space="preserve"> their participation.</w:t>
      </w:r>
    </w:p>
    <w:p w:rsidR="00963F2A" w:rsidRDefault="00FD1A5A">
      <w:pPr>
        <w:pStyle w:val="BodyText"/>
      </w:pPr>
      <w:r>
        <w:t xml:space="preserve">Mean accuracy was 0.80 in the discrimination task, 0.96 in the Q-in-O search task, and 0.95 in the O-in-Q search task. We excluded participants for performing below 70% accuracy in one or two of the search tasks, for performing below </w:t>
      </w:r>
      <w:r>
        <w:t>60% accuracy in the discrimination task, for having extremely fast or slow reaction times in one or more of the tasks (below 250 milliseconds or above 5 seconds in more than 25% of the trials), and for failing the comprehension check. Overall we excluded 0</w:t>
      </w:r>
      <w:r>
        <w:t xml:space="preserve"> participants, leaving 30 participants for the main analysis.</w:t>
      </w:r>
    </w:p>
    <w:p w:rsidR="00963F2A" w:rsidRDefault="00FD1A5A">
      <w:pPr>
        <w:pStyle w:val="Heading2"/>
      </w:pPr>
      <w:bookmarkStart w:id="57" w:name="visual-search-task-search-asymmetry"/>
      <w:r>
        <w:t>Visual search task: search asymmetry</w:t>
      </w:r>
      <w:bookmarkEnd w:id="57"/>
    </w:p>
    <w:p w:rsidR="00963F2A" w:rsidRDefault="00FD1A5A">
      <w:pPr>
        <w:pStyle w:val="FirstParagraph"/>
      </w:pPr>
      <w:r>
        <w:t>Search time analysis was performed on correct trials with reaction time between 250 and 5000 milliseconds. Search slopes for the response time/set size funct</w:t>
      </w:r>
      <w:r>
        <w:t xml:space="preserve">ion were extracted for each participant, task and response, and then subjected to a two-way analysis of variance. As expected, we observed significant effects for target identity (mean search slope for </w:t>
      </w:r>
      <w:r>
        <w:rPr>
          <w:i/>
        </w:rPr>
        <w:t>Q-in-O</w:t>
      </w:r>
      <w:r>
        <w:t xml:space="preserve"> search: 18.93 ms/item; mean search slope for </w:t>
      </w:r>
      <w:r>
        <w:rPr>
          <w:i/>
        </w:rPr>
        <w:t>O-</w:t>
      </w:r>
      <w:r>
        <w:rPr>
          <w:i/>
        </w:rPr>
        <w:t>in-Q</w:t>
      </w:r>
      <w:r>
        <w:t xml:space="preserve"> search: 54.89 ms/item; </w:t>
      </w:r>
      <m:oMath>
        <m:r>
          <w:rPr>
            <w:rFonts w:ascii="Cambria Math" w:hAnsi="Cambria Math"/>
          </w:rPr>
          <m:t>F</m:t>
        </m:r>
        <m:r>
          <w:rPr>
            <w:rFonts w:ascii="Cambria Math" w:hAnsi="Cambria Math"/>
          </w:rPr>
          <m:t>(1,116)=44.39</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&lt;.001</m:t>
        </m:r>
      </m:oMath>
      <w:r>
        <w:t xml:space="preserve">) and response (mean search slope for target absent responses: 48.04; mean search slope for target present responses: 25.78; </w:t>
      </w:r>
      <m:oMath>
        <m:r>
          <w:rPr>
            <w:rFonts w:ascii="Cambria Math" w:hAnsi="Cambria Math"/>
          </w:rPr>
          <m:t>F</m:t>
        </m:r>
        <m:r>
          <w:rPr>
            <w:rFonts w:ascii="Cambria Math" w:hAnsi="Cambria Math"/>
          </w:rPr>
          <m:t>(1,116)=17.01</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&lt;.001</m:t>
        </m:r>
      </m:oMath>
      <w:r>
        <w:t>; see Figure ). An intera</w:t>
      </w:r>
      <w:r>
        <w:t>ction effect was also significant (</w:t>
      </w:r>
      <m:oMath>
        <m:r>
          <w:rPr>
            <w:rFonts w:ascii="Cambria Math" w:hAnsi="Cambria Math"/>
          </w:rPr>
          <m:t>F</m:t>
        </m:r>
        <m:r>
          <w:rPr>
            <w:rFonts w:ascii="Cambria Math" w:hAnsi="Cambria Math"/>
          </w:rPr>
          <m:t>(1,116)=8.91</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m:t>
        </m:r>
        <m:r>
          <w:rPr>
            <w:rFonts w:ascii="Cambria Math" w:hAnsi="Cambria Math"/>
          </w:rPr>
          <w:lastRenderedPageBreak/>
          <m:t>.003</m:t>
        </m:r>
      </m:oMath>
      <w:r>
        <w:t>). These results match previous reports of steeper search slopes for searching a circle among circles crossed by a line than for the inverse search (e.g., Treisman &amp; Souther, 1985).</w:t>
      </w:r>
    </w:p>
    <w:p w:rsidR="00963F2A" w:rsidRDefault="00963F2A">
      <w:pPr>
        <w:pStyle w:val="TableCaption"/>
      </w:pPr>
    </w:p>
    <w:tbl>
      <w:tblPr>
        <w:tblStyle w:val="Table"/>
        <w:tblW w:w="0" w:type="pct"/>
        <w:tblLook w:val="07E0" w:firstRow="1" w:lastRow="1" w:firstColumn="1" w:lastColumn="1" w:noHBand="1" w:noVBand="1"/>
      </w:tblPr>
      <w:tblGrid>
        <w:gridCol w:w="2054"/>
        <w:gridCol w:w="756"/>
        <w:gridCol w:w="553"/>
        <w:gridCol w:w="576"/>
        <w:gridCol w:w="876"/>
        <w:gridCol w:w="832"/>
        <w:gridCol w:w="636"/>
      </w:tblGrid>
      <w:tr w:rsidR="00963F2A" w:rsidTr="00963F2A">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0" w:space="0" w:color="auto"/>
            </w:tcBorders>
            <w:vAlign w:val="bottom"/>
          </w:tcPr>
          <w:p w:rsidR="00963F2A" w:rsidRDefault="00FD1A5A">
            <w:pPr>
              <w:pStyle w:val="Compact"/>
            </w:pPr>
            <w:r>
              <w:t>Effect</w:t>
            </w:r>
          </w:p>
        </w:tc>
        <w:tc>
          <w:tcPr>
            <w:tcW w:w="0" w:type="auto"/>
            <w:tcBorders>
              <w:bottom w:val="single" w:sz="0" w:space="0" w:color="auto"/>
            </w:tcBorders>
            <w:vAlign w:val="bottom"/>
          </w:tcPr>
          <w:p w:rsidR="00963F2A" w:rsidRDefault="00FD1A5A">
            <w:pPr>
              <w:pStyle w:val="Compact"/>
            </w:pPr>
            <m:oMathPara>
              <m:oMath>
                <m:r>
                  <w:rPr>
                    <w:rFonts w:ascii="Cambria Math" w:hAnsi="Cambria Math"/>
                  </w:rPr>
                  <m:t>F</m:t>
                </m:r>
              </m:oMath>
            </m:oMathPara>
          </w:p>
        </w:tc>
        <w:tc>
          <w:tcPr>
            <w:tcW w:w="0" w:type="auto"/>
            <w:tcBorders>
              <w:bottom w:val="single" w:sz="0" w:space="0" w:color="auto"/>
            </w:tcBorders>
            <w:vAlign w:val="bottom"/>
          </w:tcPr>
          <w:p w:rsidR="00963F2A" w:rsidRDefault="00FD1A5A">
            <w:pPr>
              <w:pStyle w:val="Compact"/>
            </w:pPr>
            <m:oMathPara>
              <m:oMath>
                <m:sSub>
                  <m:sSubPr>
                    <m:ctrlPr>
                      <w:rPr>
                        <w:rFonts w:ascii="Cambria Math" w:hAnsi="Cambria Math"/>
                      </w:rPr>
                    </m:ctrlPr>
                  </m:sSubPr>
                  <m:e>
                    <m:r>
                      <w:rPr>
                        <w:rFonts w:ascii="Cambria Math" w:hAnsi="Cambria Math"/>
                      </w:rPr>
                      <m:t>df</m:t>
                    </m:r>
                  </m:e>
                  <m:sub>
                    <m:r>
                      <w:rPr>
                        <w:rFonts w:ascii="Cambria Math" w:hAnsi="Cambria Math"/>
                      </w:rPr>
                      <m:t>1</m:t>
                    </m:r>
                  </m:sub>
                </m:sSub>
              </m:oMath>
            </m:oMathPara>
          </w:p>
        </w:tc>
        <w:tc>
          <w:tcPr>
            <w:tcW w:w="0" w:type="auto"/>
            <w:tcBorders>
              <w:bottom w:val="single" w:sz="0" w:space="0" w:color="auto"/>
            </w:tcBorders>
            <w:vAlign w:val="bottom"/>
          </w:tcPr>
          <w:p w:rsidR="00963F2A" w:rsidRDefault="00FD1A5A">
            <w:pPr>
              <w:pStyle w:val="Compact"/>
            </w:pPr>
            <m:oMathPara>
              <m:oMath>
                <m:sSub>
                  <m:sSubPr>
                    <m:ctrlPr>
                      <w:rPr>
                        <w:rFonts w:ascii="Cambria Math" w:hAnsi="Cambria Math"/>
                      </w:rPr>
                    </m:ctrlPr>
                  </m:sSubPr>
                  <m:e>
                    <m:r>
                      <w:rPr>
                        <w:rFonts w:ascii="Cambria Math" w:hAnsi="Cambria Math"/>
                      </w:rPr>
                      <m:t>df</m:t>
                    </m:r>
                  </m:e>
                  <m:sub>
                    <m:r>
                      <w:rPr>
                        <w:rFonts w:ascii="Cambria Math" w:hAnsi="Cambria Math"/>
                      </w:rPr>
                      <m:t>2</m:t>
                    </m:r>
                  </m:sub>
                </m:sSub>
              </m:oMath>
            </m:oMathPara>
          </w:p>
        </w:tc>
        <w:tc>
          <w:tcPr>
            <w:tcW w:w="0" w:type="auto"/>
            <w:tcBorders>
              <w:bottom w:val="single" w:sz="0" w:space="0" w:color="auto"/>
            </w:tcBorders>
            <w:vAlign w:val="bottom"/>
          </w:tcPr>
          <w:p w:rsidR="00963F2A" w:rsidRDefault="00FD1A5A">
            <w:pPr>
              <w:pStyle w:val="Compact"/>
            </w:pPr>
            <m:oMathPara>
              <m:oMath>
                <m:r>
                  <w:rPr>
                    <w:rFonts w:ascii="Cambria Math" w:hAnsi="Cambria Math"/>
                  </w:rPr>
                  <m:t>MSE</m:t>
                </m:r>
              </m:oMath>
            </m:oMathPara>
          </w:p>
        </w:tc>
        <w:tc>
          <w:tcPr>
            <w:tcW w:w="0" w:type="auto"/>
            <w:tcBorders>
              <w:bottom w:val="single" w:sz="0" w:space="0" w:color="auto"/>
            </w:tcBorders>
            <w:vAlign w:val="bottom"/>
          </w:tcPr>
          <w:p w:rsidR="00963F2A" w:rsidRDefault="00FD1A5A">
            <w:pPr>
              <w:pStyle w:val="Compact"/>
            </w:pPr>
            <m:oMathPara>
              <m:oMath>
                <m:r>
                  <w:rPr>
                    <w:rFonts w:ascii="Cambria Math" w:hAnsi="Cambria Math"/>
                  </w:rPr>
                  <m:t>p</m:t>
                </m:r>
              </m:oMath>
            </m:oMathPara>
          </w:p>
        </w:tc>
        <w:tc>
          <w:tcPr>
            <w:tcW w:w="0" w:type="auto"/>
            <w:tcBorders>
              <w:bottom w:val="single" w:sz="0" w:space="0" w:color="auto"/>
            </w:tcBorders>
            <w:vAlign w:val="bottom"/>
          </w:tcPr>
          <w:p w:rsidR="00963F2A" w:rsidRDefault="00FD1A5A">
            <w:pPr>
              <w:pStyle w:val="Compac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η</m:t>
                        </m:r>
                      </m:e>
                    </m:acc>
                  </m:e>
                  <m:sub>
                    <m:r>
                      <w:rPr>
                        <w:rFonts w:ascii="Cambria Math" w:hAnsi="Cambria Math"/>
                      </w:rPr>
                      <m:t>G</m:t>
                    </m:r>
                  </m:sub>
                  <m:sup>
                    <m:r>
                      <w:rPr>
                        <w:rFonts w:ascii="Cambria Math" w:hAnsi="Cambria Math"/>
                      </w:rPr>
                      <m:t>2</m:t>
                    </m:r>
                  </m:sup>
                </m:sSubSup>
              </m:oMath>
            </m:oMathPara>
          </w:p>
        </w:tc>
      </w:tr>
      <w:tr w:rsidR="00963F2A">
        <w:tc>
          <w:tcPr>
            <w:tcW w:w="0" w:type="auto"/>
          </w:tcPr>
          <w:p w:rsidR="00963F2A" w:rsidRDefault="00FD1A5A">
            <w:pPr>
              <w:pStyle w:val="Compact"/>
            </w:pPr>
            <w:r>
              <w:t>Target</w:t>
            </w:r>
          </w:p>
        </w:tc>
        <w:tc>
          <w:tcPr>
            <w:tcW w:w="0" w:type="auto"/>
          </w:tcPr>
          <w:p w:rsidR="00963F2A" w:rsidRDefault="00FD1A5A">
            <w:pPr>
              <w:pStyle w:val="Compact"/>
            </w:pPr>
            <w:r>
              <w:t>44.39</w:t>
            </w:r>
          </w:p>
        </w:tc>
        <w:tc>
          <w:tcPr>
            <w:tcW w:w="0" w:type="auto"/>
          </w:tcPr>
          <w:p w:rsidR="00963F2A" w:rsidRDefault="00FD1A5A">
            <w:pPr>
              <w:pStyle w:val="Compact"/>
            </w:pPr>
            <w:r>
              <w:t>1</w:t>
            </w:r>
          </w:p>
        </w:tc>
        <w:tc>
          <w:tcPr>
            <w:tcW w:w="0" w:type="auto"/>
          </w:tcPr>
          <w:p w:rsidR="00963F2A" w:rsidRDefault="00FD1A5A">
            <w:pPr>
              <w:pStyle w:val="Compact"/>
            </w:pPr>
            <w:r>
              <w:t>116</w:t>
            </w:r>
          </w:p>
        </w:tc>
        <w:tc>
          <w:tcPr>
            <w:tcW w:w="0" w:type="auto"/>
          </w:tcPr>
          <w:p w:rsidR="00963F2A" w:rsidRDefault="00FD1A5A">
            <w:pPr>
              <w:pStyle w:val="Compact"/>
            </w:pPr>
            <w:r>
              <w:t>873.80</w:t>
            </w:r>
          </w:p>
        </w:tc>
        <w:tc>
          <w:tcPr>
            <w:tcW w:w="0" w:type="auto"/>
          </w:tcPr>
          <w:p w:rsidR="00963F2A" w:rsidRDefault="00FD1A5A">
            <w:pPr>
              <w:pStyle w:val="Compact"/>
            </w:pPr>
            <w:r>
              <w:t>&lt; .001</w:t>
            </w:r>
          </w:p>
        </w:tc>
        <w:tc>
          <w:tcPr>
            <w:tcW w:w="0" w:type="auto"/>
          </w:tcPr>
          <w:p w:rsidR="00963F2A" w:rsidRDefault="00FD1A5A">
            <w:pPr>
              <w:pStyle w:val="Compact"/>
            </w:pPr>
            <w:r>
              <w:t>.277</w:t>
            </w:r>
          </w:p>
        </w:tc>
      </w:tr>
      <w:tr w:rsidR="00963F2A">
        <w:tc>
          <w:tcPr>
            <w:tcW w:w="0" w:type="auto"/>
          </w:tcPr>
          <w:p w:rsidR="00963F2A" w:rsidRDefault="00FD1A5A">
            <w:pPr>
              <w:pStyle w:val="Compact"/>
            </w:pPr>
            <w:r>
              <w:t>Response</w:t>
            </w:r>
          </w:p>
        </w:tc>
        <w:tc>
          <w:tcPr>
            <w:tcW w:w="0" w:type="auto"/>
          </w:tcPr>
          <w:p w:rsidR="00963F2A" w:rsidRDefault="00FD1A5A">
            <w:pPr>
              <w:pStyle w:val="Compact"/>
            </w:pPr>
            <w:r>
              <w:t>17.01</w:t>
            </w:r>
          </w:p>
        </w:tc>
        <w:tc>
          <w:tcPr>
            <w:tcW w:w="0" w:type="auto"/>
          </w:tcPr>
          <w:p w:rsidR="00963F2A" w:rsidRDefault="00FD1A5A">
            <w:pPr>
              <w:pStyle w:val="Compact"/>
            </w:pPr>
            <w:r>
              <w:t>1</w:t>
            </w:r>
          </w:p>
        </w:tc>
        <w:tc>
          <w:tcPr>
            <w:tcW w:w="0" w:type="auto"/>
          </w:tcPr>
          <w:p w:rsidR="00963F2A" w:rsidRDefault="00FD1A5A">
            <w:pPr>
              <w:pStyle w:val="Compact"/>
            </w:pPr>
            <w:r>
              <w:t>116</w:t>
            </w:r>
          </w:p>
        </w:tc>
        <w:tc>
          <w:tcPr>
            <w:tcW w:w="0" w:type="auto"/>
          </w:tcPr>
          <w:p w:rsidR="00963F2A" w:rsidRDefault="00FD1A5A">
            <w:pPr>
              <w:pStyle w:val="Compact"/>
            </w:pPr>
            <w:r>
              <w:t>873.80</w:t>
            </w:r>
          </w:p>
        </w:tc>
        <w:tc>
          <w:tcPr>
            <w:tcW w:w="0" w:type="auto"/>
          </w:tcPr>
          <w:p w:rsidR="00963F2A" w:rsidRDefault="00FD1A5A">
            <w:pPr>
              <w:pStyle w:val="Compact"/>
            </w:pPr>
            <w:r>
              <w:t>&lt; .001</w:t>
            </w:r>
          </w:p>
        </w:tc>
        <w:tc>
          <w:tcPr>
            <w:tcW w:w="0" w:type="auto"/>
          </w:tcPr>
          <w:p w:rsidR="00963F2A" w:rsidRDefault="00FD1A5A">
            <w:pPr>
              <w:pStyle w:val="Compact"/>
            </w:pPr>
            <w:r>
              <w:t>.128</w:t>
            </w:r>
          </w:p>
        </w:tc>
      </w:tr>
      <w:tr w:rsidR="00963F2A">
        <w:trPr>
          <w:cnfStyle w:val="010000000000" w:firstRow="0" w:lastRow="1" w:firstColumn="0" w:lastColumn="0" w:oddVBand="0" w:evenVBand="0" w:oddHBand="0" w:evenHBand="0" w:firstRowFirstColumn="0" w:firstRowLastColumn="0" w:lastRowFirstColumn="0" w:lastRowLastColumn="0"/>
        </w:trPr>
        <w:tc>
          <w:tcPr>
            <w:tcW w:w="0" w:type="auto"/>
          </w:tcPr>
          <w:p w:rsidR="00963F2A" w:rsidRDefault="00FD1A5A">
            <w:pPr>
              <w:pStyle w:val="Compact"/>
            </w:pPr>
            <w:r>
              <w:t xml:space="preserve">Target </w:t>
            </w:r>
            <m:oMath>
              <m:r>
                <w:rPr>
                  <w:rFonts w:ascii="Cambria Math" w:hAnsi="Cambria Math"/>
                </w:rPr>
                <m:t>×</m:t>
              </m:r>
            </m:oMath>
            <w:r>
              <w:t xml:space="preserve"> Response</w:t>
            </w:r>
          </w:p>
        </w:tc>
        <w:tc>
          <w:tcPr>
            <w:tcW w:w="0" w:type="auto"/>
          </w:tcPr>
          <w:p w:rsidR="00963F2A" w:rsidRDefault="00FD1A5A">
            <w:pPr>
              <w:pStyle w:val="Compact"/>
            </w:pPr>
            <w:r>
              <w:t>8.91</w:t>
            </w:r>
          </w:p>
        </w:tc>
        <w:tc>
          <w:tcPr>
            <w:tcW w:w="0" w:type="auto"/>
          </w:tcPr>
          <w:p w:rsidR="00963F2A" w:rsidRDefault="00FD1A5A">
            <w:pPr>
              <w:pStyle w:val="Compact"/>
            </w:pPr>
            <w:r>
              <w:t>1</w:t>
            </w:r>
          </w:p>
        </w:tc>
        <w:tc>
          <w:tcPr>
            <w:tcW w:w="0" w:type="auto"/>
          </w:tcPr>
          <w:p w:rsidR="00963F2A" w:rsidRDefault="00FD1A5A">
            <w:pPr>
              <w:pStyle w:val="Compact"/>
            </w:pPr>
            <w:r>
              <w:t>116</w:t>
            </w:r>
          </w:p>
        </w:tc>
        <w:tc>
          <w:tcPr>
            <w:tcW w:w="0" w:type="auto"/>
          </w:tcPr>
          <w:p w:rsidR="00963F2A" w:rsidRDefault="00FD1A5A">
            <w:pPr>
              <w:pStyle w:val="Compact"/>
            </w:pPr>
            <w:r>
              <w:t>873.80</w:t>
            </w:r>
          </w:p>
        </w:tc>
        <w:tc>
          <w:tcPr>
            <w:tcW w:w="0" w:type="auto"/>
          </w:tcPr>
          <w:p w:rsidR="00963F2A" w:rsidRDefault="00FD1A5A">
            <w:pPr>
              <w:pStyle w:val="Compact"/>
            </w:pPr>
            <w:r>
              <w:t>.003</w:t>
            </w:r>
          </w:p>
        </w:tc>
        <w:tc>
          <w:tcPr>
            <w:tcW w:w="0" w:type="auto"/>
          </w:tcPr>
          <w:p w:rsidR="00963F2A" w:rsidRDefault="00FD1A5A">
            <w:pPr>
              <w:pStyle w:val="Compact"/>
            </w:pPr>
            <w:r>
              <w:t>.071</w:t>
            </w:r>
          </w:p>
        </w:tc>
      </w:tr>
    </w:tbl>
    <w:p w:rsidR="00963F2A" w:rsidRDefault="00FD1A5A">
      <w:pPr>
        <w:pStyle w:val="CaptionedFigure"/>
      </w:pPr>
      <w:r>
        <w:rPr>
          <w:noProof/>
          <w:lang w:bidi="he-IL"/>
        </w:rPr>
        <w:drawing>
          <wp:inline distT="0" distB="0" distL="0" distR="0">
            <wp:extent cx="4587290" cy="3669832"/>
            <wp:effectExtent l="0" t="0" r="0" b="0"/>
            <wp:docPr id="3" name="Picture" descr="Figure 3:.  A: Median search time by distractor set size for the two search tasks and two responses. Correct responses only. Error bars represent the standard error of the median. B: mean search slope per target (Q or O) and response (present or absent). Error bars represent the standard error of the mean."/>
            <wp:cNvGraphicFramePr/>
            <a:graphic xmlns:a="http://schemas.openxmlformats.org/drawingml/2006/main">
              <a:graphicData uri="http://schemas.openxmlformats.org/drawingml/2006/picture">
                <pic:pic xmlns:pic="http://schemas.openxmlformats.org/drawingml/2006/picture">
                  <pic:nvPicPr>
                    <pic:cNvPr id="0" name="Picture" descr="asymmetry_files/figure-docx/RT-pilot-1.png"/>
                    <pic:cNvPicPr>
                      <a:picLocks noChangeAspect="1" noChangeArrowheads="1"/>
                    </pic:cNvPicPr>
                  </pic:nvPicPr>
                  <pic:blipFill>
                    <a:blip r:embed="rId24"/>
                    <a:stretch>
                      <a:fillRect/>
                    </a:stretch>
                  </pic:blipFill>
                  <pic:spPr bwMode="auto">
                    <a:xfrm>
                      <a:off x="0" y="0"/>
                      <a:ext cx="4587290" cy="3669832"/>
                    </a:xfrm>
                    <a:prstGeom prst="rect">
                      <a:avLst/>
                    </a:prstGeom>
                    <a:noFill/>
                    <a:ln w="9525">
                      <a:noFill/>
                      <a:headEnd/>
                      <a:tailEnd/>
                    </a:ln>
                  </pic:spPr>
                </pic:pic>
              </a:graphicData>
            </a:graphic>
          </wp:inline>
        </w:drawing>
      </w:r>
    </w:p>
    <w:p w:rsidR="00963F2A" w:rsidRPr="00D0277C" w:rsidRDefault="00FD1A5A">
      <w:pPr>
        <w:pStyle w:val="ImageCaption"/>
        <w:rPr>
          <w:rFonts w:asciiTheme="majorHAnsi" w:hAnsiTheme="majorHAnsi" w:cstheme="majorHAnsi"/>
          <w:sz w:val="22"/>
          <w:szCs w:val="22"/>
        </w:rPr>
      </w:pPr>
      <w:r w:rsidRPr="00D0277C">
        <w:rPr>
          <w:rFonts w:asciiTheme="majorHAnsi" w:hAnsiTheme="majorHAnsi" w:cstheme="majorHAnsi"/>
          <w:i/>
          <w:sz w:val="22"/>
          <w:szCs w:val="22"/>
        </w:rPr>
        <w:t>Figure</w:t>
      </w:r>
      <w:r w:rsidRPr="00D0277C">
        <w:rPr>
          <w:rFonts w:asciiTheme="majorHAnsi" w:hAnsiTheme="majorHAnsi" w:cstheme="majorHAnsi"/>
          <w:sz w:val="22"/>
          <w:szCs w:val="22"/>
        </w:rPr>
        <w:t xml:space="preserve"> </w:t>
      </w:r>
      <w:r w:rsidRPr="00D0277C">
        <w:rPr>
          <w:rFonts w:asciiTheme="majorHAnsi" w:hAnsiTheme="majorHAnsi" w:cstheme="majorHAnsi"/>
          <w:i/>
          <w:sz w:val="22"/>
          <w:szCs w:val="22"/>
        </w:rPr>
        <w:t>3:</w:t>
      </w:r>
      <w:r w:rsidRPr="00D0277C">
        <w:rPr>
          <w:rFonts w:asciiTheme="majorHAnsi" w:hAnsiTheme="majorHAnsi" w:cstheme="majorHAnsi"/>
          <w:sz w:val="22"/>
          <w:szCs w:val="22"/>
        </w:rPr>
        <w:t>.  A: Median search time by distractor set size for the two search tasks and two responses. Correct responses only. Error bars represent the standard error of the median. B: mean search slope per target (Q or O) and response (present or absent). Error bars</w:t>
      </w:r>
      <w:r w:rsidRPr="00D0277C">
        <w:rPr>
          <w:rFonts w:asciiTheme="majorHAnsi" w:hAnsiTheme="majorHAnsi" w:cstheme="majorHAnsi"/>
          <w:sz w:val="22"/>
          <w:szCs w:val="22"/>
        </w:rPr>
        <w:t xml:space="preserve"> represent the standard error of the mean.</w:t>
      </w:r>
    </w:p>
    <w:p w:rsidR="00963F2A" w:rsidRDefault="00FD1A5A">
      <w:pPr>
        <w:pStyle w:val="Heading2"/>
      </w:pPr>
      <w:bookmarkStart w:id="58" w:name="Xd519d9a14d874bacdd469fa80e7b416668ee75e"/>
      <w:r>
        <w:lastRenderedPageBreak/>
        <w:t>Discrimination task: metacognitive asymmetry</w:t>
      </w:r>
      <w:bookmarkEnd w:id="58"/>
    </w:p>
    <w:p w:rsidR="00963F2A" w:rsidRDefault="00FD1A5A">
      <w:pPr>
        <w:pStyle w:val="FirstParagraph"/>
      </w:pPr>
      <w:r>
        <w:t>Mean accuracy in the discrimination task was 0.81 (</w:t>
      </w:r>
      <m:oMath>
        <m:r>
          <w:rPr>
            <w:rFonts w:ascii="Cambria Math" w:hAnsi="Cambria Math"/>
          </w:rPr>
          <m:t>M</m:t>
        </m:r>
        <m:r>
          <w:rPr>
            <w:rFonts w:ascii="Cambria Math" w:hAnsi="Cambria Math"/>
          </w:rPr>
          <m:t>=0.81</m:t>
        </m:r>
      </m:oMath>
      <w:r>
        <w:t xml:space="preserve">, 95% CI </w:t>
      </w:r>
      <m:oMath>
        <m:r>
          <w:rPr>
            <w:rFonts w:ascii="Cambria Math" w:hAnsi="Cambria Math"/>
          </w:rPr>
          <m:t>[0.77</m:t>
        </m:r>
      </m:oMath>
      <w:r>
        <w:t xml:space="preserve">, </w:t>
      </w:r>
      <m:oMath>
        <m:r>
          <w:rPr>
            <w:rFonts w:ascii="Cambria Math" w:hAnsi="Cambria Math"/>
          </w:rPr>
          <m:t>0.84]</m:t>
        </m:r>
      </m:oMath>
      <w:r>
        <w:t>). Participants showed no consistent bias in their responses (</w:t>
      </w:r>
      <m:oMath>
        <m:r>
          <w:rPr>
            <w:rFonts w:ascii="Cambria Math" w:hAnsi="Cambria Math"/>
          </w:rPr>
          <m:t>M</m:t>
        </m:r>
        <m:r>
          <w:rPr>
            <w:rFonts w:ascii="Cambria Math" w:hAnsi="Cambria Math"/>
          </w:rPr>
          <m:t>=0.53</m:t>
        </m:r>
      </m:oMath>
      <w:r>
        <w:t xml:space="preserve">, 95% CI </w:t>
      </w:r>
      <m:oMath>
        <m:r>
          <w:rPr>
            <w:rFonts w:ascii="Cambria Math" w:hAnsi="Cambria Math"/>
          </w:rPr>
          <m:t>[0.48</m:t>
        </m:r>
      </m:oMath>
      <w:r>
        <w:t xml:space="preserve">, </w:t>
      </w:r>
      <m:oMath>
        <m:r>
          <w:rPr>
            <w:rFonts w:ascii="Cambria Math" w:hAnsi="Cambria Math"/>
          </w:rPr>
          <m:t>0.57</m:t>
        </m:r>
        <m:r>
          <w:rPr>
            <w:rFonts w:ascii="Cambria Math" w:hAnsi="Cambria Math"/>
          </w:rPr>
          <m:t>]</m:t>
        </m:r>
      </m:oMath>
      <w:r>
        <w:t>). On a scale of 0 to 1, mean confidence level was 0.56 (</w:t>
      </w:r>
      <m:oMath>
        <m:r>
          <w:rPr>
            <w:rFonts w:ascii="Cambria Math" w:hAnsi="Cambria Math"/>
          </w:rPr>
          <m:t>M</m:t>
        </m:r>
        <m:r>
          <w:rPr>
            <w:rFonts w:ascii="Cambria Math" w:hAnsi="Cambria Math"/>
          </w:rPr>
          <m:t>=0.56</m:t>
        </m:r>
      </m:oMath>
      <w:r>
        <w:t xml:space="preserve">, 95% CI </w:t>
      </w:r>
      <m:oMath>
        <m:r>
          <w:rPr>
            <w:rFonts w:ascii="Cambria Math" w:hAnsi="Cambria Math"/>
          </w:rPr>
          <m:t>[0.47</m:t>
        </m:r>
      </m:oMath>
      <w:r>
        <w:t xml:space="preserve">, </w:t>
      </w:r>
      <m:oMath>
        <m:r>
          <w:rPr>
            <w:rFonts w:ascii="Cambria Math" w:hAnsi="Cambria Math"/>
          </w:rPr>
          <m:t>0.64]</m:t>
        </m:r>
      </m:oMath>
      <w:r>
        <w:t>). Confidence was higher for correct than for incorrect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=0.15</m:t>
        </m:r>
      </m:oMath>
      <w:r>
        <w:t xml:space="preserve">, 95% CI </w:t>
      </w:r>
      <m:oMath>
        <m:r>
          <w:rPr>
            <w:rFonts w:ascii="Cambria Math" w:hAnsi="Cambria Math"/>
          </w:rPr>
          <m:t>[0.09</m:t>
        </m:r>
      </m:oMath>
      <w:r>
        <w:t xml:space="preserve">, </w:t>
      </w:r>
      <m:oMath>
        <m:r>
          <w:rPr>
            <w:rFonts w:ascii="Cambria Math" w:hAnsi="Cambria Math"/>
          </w:rPr>
          <m:t>0.21]</m:t>
        </m:r>
      </m:oMath>
      <w:r>
        <w:t xml:space="preserve">, </w:t>
      </w:r>
      <m:oMath>
        <m:r>
          <w:rPr>
            <w:rFonts w:ascii="Cambria Math" w:hAnsi="Cambria Math"/>
          </w:rPr>
          <m:t>t</m:t>
        </m:r>
        <m:r>
          <w:rPr>
            <w:rFonts w:ascii="Cambria Math" w:hAnsi="Cambria Math"/>
          </w:rPr>
          <m:t>(29)=5.24</m:t>
        </m:r>
      </m:oMath>
      <w:r>
        <w:t xml:space="preserve">, </w:t>
      </w:r>
      <m:oMath>
        <m:r>
          <w:rPr>
            <w:rFonts w:ascii="Cambria Math" w:hAnsi="Cambria Math"/>
          </w:rPr>
          <m:t>p</m:t>
        </m:r>
        <m:r>
          <w:rPr>
            <w:rFonts w:ascii="Cambria Math" w:hAnsi="Cambria Math"/>
          </w:rPr>
          <m:t>&lt;.001</m:t>
        </m:r>
      </m:oMath>
      <w:r>
        <w:t>).</w:t>
      </w:r>
    </w:p>
    <w:p w:rsidR="00963F2A" w:rsidRDefault="00FD1A5A">
      <w:pPr>
        <w:pStyle w:val="BodyText"/>
      </w:pPr>
      <w:r>
        <w:rPr>
          <w:i/>
        </w:rPr>
        <w:t>Q</w:t>
      </w:r>
      <w:r>
        <w:t xml:space="preserve"> responses were similar to detection ‘stimulus </w:t>
      </w:r>
      <w:r>
        <w:t xml:space="preserve">presence’ responses in several ways. First, response times were faster for </w:t>
      </w:r>
      <w:r>
        <w:rPr>
          <w:i/>
        </w:rPr>
        <w:t>Q</w:t>
      </w:r>
      <w:r>
        <w:t xml:space="preserve"> than for </w:t>
      </w:r>
      <w:r>
        <w:rPr>
          <w:i/>
        </w:rPr>
        <w:t>O</w:t>
      </w:r>
      <w:r>
        <w:t xml:space="preserve">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=-149.38</m:t>
        </m:r>
      </m:oMath>
      <w:r>
        <w:t xml:space="preserve">, 95% CI </w:t>
      </w:r>
      <m:oMath>
        <m:r>
          <w:rPr>
            <w:rFonts w:ascii="Cambria Math" w:hAnsi="Cambria Math"/>
          </w:rPr>
          <m:t>[-241.39</m:t>
        </m:r>
      </m:oMath>
      <w:r>
        <w:t xml:space="preserve">, </w:t>
      </w:r>
      <m:oMath>
        <m:r>
          <w:rPr>
            <w:rFonts w:ascii="Cambria Math" w:hAnsi="Cambria Math"/>
          </w:rPr>
          <m:t>-</m:t>
        </m:r>
        <m:r>
          <w:rPr>
            <w:rFonts w:ascii="Cambria Math" w:hAnsi="Cambria Math"/>
          </w:rPr>
          <m:t>57.38]</m:t>
        </m:r>
      </m:oMath>
      <w:r>
        <w:t xml:space="preserve">, </w:t>
      </w:r>
      <m:oMath>
        <m:r>
          <w:rPr>
            <w:rFonts w:ascii="Cambria Math" w:hAnsi="Cambria Math"/>
          </w:rPr>
          <m:t>t</m:t>
        </m:r>
        <m:r>
          <w:rPr>
            <w:rFonts w:ascii="Cambria Math" w:hAnsi="Cambria Math"/>
          </w:rPr>
          <m:t>(29)=-3.32</m:t>
        </m:r>
      </m:oMath>
      <w:r>
        <w:t xml:space="preserve">, </w:t>
      </w:r>
      <m:oMath>
        <m:r>
          <w:rPr>
            <w:rFonts w:ascii="Cambria Math" w:hAnsi="Cambria Math"/>
          </w:rPr>
          <m:t>p</m:t>
        </m:r>
        <m:r>
          <w:rPr>
            <w:rFonts w:ascii="Cambria Math" w:hAnsi="Cambria Math"/>
          </w:rPr>
          <m:t>=.002</m:t>
        </m:r>
      </m:oMath>
      <w:r>
        <w:t xml:space="preserve">). Second, confidence was generally higher for </w:t>
      </w:r>
      <w:r>
        <w:rPr>
          <w:i/>
        </w:rPr>
        <w:t>Q</w:t>
      </w:r>
      <w:r>
        <w:t xml:space="preserve">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=0.10</m:t>
        </m:r>
      </m:oMath>
      <w:r>
        <w:t xml:space="preserve">, 95% CI </w:t>
      </w:r>
      <m:oMath>
        <m:r>
          <w:rPr>
            <w:rFonts w:ascii="Cambria Math" w:hAnsi="Cambria Math"/>
          </w:rPr>
          <m:t>[0.05</m:t>
        </m:r>
      </m:oMath>
      <w:r>
        <w:t xml:space="preserve">, </w:t>
      </w:r>
      <m:oMath>
        <m:r>
          <w:rPr>
            <w:rFonts w:ascii="Cambria Math" w:hAnsi="Cambria Math"/>
          </w:rPr>
          <m:t>0.16]</m:t>
        </m:r>
      </m:oMath>
      <w:r>
        <w:t xml:space="preserve">, </w:t>
      </w:r>
      <m:oMath>
        <m:r>
          <w:rPr>
            <w:rFonts w:ascii="Cambria Math" w:hAnsi="Cambria Math"/>
          </w:rPr>
          <m:t>t</m:t>
        </m:r>
        <m:r>
          <w:rPr>
            <w:rFonts w:ascii="Cambria Math" w:hAnsi="Cambria Math"/>
          </w:rPr>
          <m:t>(</m:t>
        </m:r>
        <m:r>
          <w:rPr>
            <w:rFonts w:ascii="Cambria Math" w:hAnsi="Cambria Math"/>
          </w:rPr>
          <m:t>29)=3.63</m:t>
        </m:r>
      </m:oMath>
      <w:r>
        <w:t xml:space="preserve">, </w:t>
      </w:r>
      <m:oMath>
        <m:r>
          <w:rPr>
            <w:rFonts w:ascii="Cambria Math" w:hAnsi="Cambria Math"/>
          </w:rPr>
          <m:t>p</m:t>
        </m:r>
        <m:r>
          <w:rPr>
            <w:rFonts w:ascii="Cambria Math" w:hAnsi="Cambria Math"/>
          </w:rPr>
          <m:t>=.001</m:t>
        </m:r>
      </m:oMath>
      <w:r>
        <w:t>). Lastly, in order to measure metacognitive asymmetry, we extracted the response-conditional type-2 ROC (rc-ROC) curves for the two responses (</w:t>
      </w:r>
      <w:r>
        <w:rPr>
          <w:i/>
        </w:rPr>
        <w:t>Q</w:t>
      </w:r>
      <w:r>
        <w:t xml:space="preserve"> and </w:t>
      </w:r>
      <w:r>
        <w:rPr>
          <w:i/>
        </w:rPr>
        <w:t>O</w:t>
      </w:r>
      <w:r>
        <w:t>) in the discrimination task. This was done by plotting the cumulative distribution of c</w:t>
      </w:r>
      <w:r>
        <w:t>onfidence ratings (high to low) for correct responses against the same distribution for incorrect responses. The area under the rc-ROC curve (auROC) was then taken as a measure of metacognitive sensitivity (Kanai et al., 2010; Meuwese et al., 2014). This a</w:t>
      </w:r>
      <w:r>
        <w:t>nalysis was available only for those participats that had at least one of each error type (</w:t>
      </w:r>
      <w:r>
        <w:rPr>
          <w:i/>
        </w:rPr>
        <w:t>Q</w:t>
      </w:r>
      <w:r>
        <w:t xml:space="preserve"> miskaen for </w:t>
      </w:r>
      <w:r>
        <w:rPr>
          <w:i/>
        </w:rPr>
        <w:t>O</w:t>
      </w:r>
      <w:r>
        <w:t xml:space="preserve"> and vice versa). Indeed, auAUC for </w:t>
      </w:r>
      <w:r>
        <w:rPr>
          <w:i/>
        </w:rPr>
        <w:t>Q</w:t>
      </w:r>
      <w:r>
        <w:t xml:space="preserve"> responses (</w:t>
      </w:r>
      <m:oMath>
        <m:r>
          <w:rPr>
            <w:rFonts w:ascii="Cambria Math" w:hAnsi="Cambria Math"/>
          </w:rPr>
          <m:t>M</m:t>
        </m:r>
        <m:r>
          <w:rPr>
            <w:rFonts w:ascii="Cambria Math" w:hAnsi="Cambria Math"/>
          </w:rPr>
          <m:t>=0.67</m:t>
        </m:r>
      </m:oMath>
      <w:r>
        <w:t xml:space="preserve">, 95% CI </w:t>
      </w:r>
      <m:oMath>
        <m:r>
          <w:rPr>
            <w:rFonts w:ascii="Cambria Math" w:hAnsi="Cambria Math"/>
          </w:rPr>
          <m:t>[0.61</m:t>
        </m:r>
      </m:oMath>
      <w:r>
        <w:t xml:space="preserve">, </w:t>
      </w:r>
      <m:oMath>
        <m:r>
          <w:rPr>
            <w:rFonts w:ascii="Cambria Math" w:hAnsi="Cambria Math"/>
          </w:rPr>
          <m:t>0.74]</m:t>
        </m:r>
      </m:oMath>
      <w:r>
        <w:t xml:space="preserve">) was significantly higher than for </w:t>
      </w:r>
      <w:r>
        <w:rPr>
          <w:i/>
        </w:rPr>
        <w:t>O</w:t>
      </w:r>
      <w:r>
        <w:t xml:space="preserve"> responses (</w:t>
      </w:r>
      <m:oMath>
        <m:r>
          <w:rPr>
            <w:rFonts w:ascii="Cambria Math" w:hAnsi="Cambria Math"/>
          </w:rPr>
          <m:t>M</m:t>
        </m:r>
        <m:r>
          <w:rPr>
            <w:rFonts w:ascii="Cambria Math" w:hAnsi="Cambria Math"/>
          </w:rPr>
          <m:t>=0.59</m:t>
        </m:r>
      </m:oMath>
      <w:r>
        <w:t xml:space="preserve">, 95% CI </w:t>
      </w:r>
      <m:oMath>
        <m:r>
          <w:rPr>
            <w:rFonts w:ascii="Cambria Math" w:hAnsi="Cambria Math"/>
          </w:rPr>
          <m:t>[0.53</m:t>
        </m:r>
      </m:oMath>
      <w:r>
        <w:t xml:space="preserve">, </w:t>
      </w:r>
      <m:oMath>
        <m:r>
          <w:rPr>
            <w:rFonts w:ascii="Cambria Math" w:hAnsi="Cambria Math"/>
          </w:rPr>
          <m:t>0</m:t>
        </m:r>
        <m:r>
          <w:rPr>
            <w:rFonts w:ascii="Cambria Math" w:hAnsi="Cambria Math"/>
          </w:rPr>
          <m:t>.65]</m:t>
        </m:r>
      </m:oMath>
      <w:r>
        <w:t xml:space="preserve">; </w:t>
      </w:r>
      <m:oMath>
        <m:r>
          <w:rPr>
            <w:rFonts w:ascii="Cambria Math" w:hAnsi="Cambria Math"/>
          </w:rPr>
          <m:t>t</m:t>
        </m:r>
        <m:r>
          <w:rPr>
            <w:rFonts w:ascii="Cambria Math" w:hAnsi="Cambria Math"/>
          </w:rPr>
          <m:t>(20)=2.15</m:t>
        </m:r>
      </m:oMath>
      <w:r>
        <w:t xml:space="preserve">, </w:t>
      </w:r>
      <m:oMath>
        <m:r>
          <w:rPr>
            <w:rFonts w:ascii="Cambria Math" w:hAnsi="Cambria Math"/>
          </w:rPr>
          <m:t>p</m:t>
        </m:r>
        <m:r>
          <w:rPr>
            <w:rFonts w:ascii="Cambria Math" w:hAnsi="Cambria Math"/>
          </w:rPr>
          <m:t>=.044</m:t>
        </m:r>
      </m:oMath>
      <w:r>
        <w:t>; Cohen’s d = 0.47; see Figure .), mirroring the metacognitive asymmetry for detection judgments.</w:t>
      </w:r>
    </w:p>
    <w:p w:rsidR="00963F2A" w:rsidRDefault="00FD1A5A">
      <w:pPr>
        <w:pStyle w:val="BodyText"/>
      </w:pPr>
      <w:r>
        <w:t>Similar to Vincent (2011), we observed shallow standardized ROC (zROC) curves (</w:t>
      </w:r>
      <m:oMath>
        <m:r>
          <w:rPr>
            <w:rFonts w:ascii="Cambria Math" w:hAnsi="Cambria Math"/>
          </w:rPr>
          <m:t>M</m:t>
        </m:r>
        <m:r>
          <w:rPr>
            <w:rFonts w:ascii="Cambria Math" w:hAnsi="Cambria Math"/>
          </w:rPr>
          <m:t>=</m:t>
        </m:r>
      </m:oMath>
      <w:r>
        <w:t xml:space="preserve"> 0.69 </w:t>
      </w:r>
      <m:oMath>
        <m:r>
          <w:rPr>
            <w:rFonts w:ascii="Cambria Math" w:hAnsi="Cambria Math"/>
          </w:rPr>
          <m:t>t</m:t>
        </m:r>
        <m:r>
          <w:rPr>
            <w:rFonts w:ascii="Cambria Math" w:hAnsi="Cambria Math"/>
          </w:rPr>
          <m:t>(29)=-6.70</m:t>
        </m:r>
      </m:oMath>
      <w:r>
        <w:t xml:space="preserve">, </w:t>
      </w:r>
      <m:oMath>
        <m:r>
          <w:rPr>
            <w:rFonts w:ascii="Cambria Math" w:hAnsi="Cambria Math"/>
          </w:rPr>
          <m:t>p</m:t>
        </m:r>
        <m:r>
          <w:rPr>
            <w:rFonts w:ascii="Cambria Math" w:hAnsi="Cambria Math"/>
          </w:rPr>
          <m:t>&lt;.001</m:t>
        </m:r>
      </m:oMath>
      <w:r>
        <w:t xml:space="preserve"> for a t test on the lo</w:t>
      </w:r>
      <w:r>
        <w:t xml:space="preserve">g slopes). Shallow zROC curves are typical of </w:t>
      </w:r>
      <w:r>
        <w:lastRenderedPageBreak/>
        <w:t>situations where the signal distribution for one category is broader than for the other (Kellij et al., 2018; Vincent, 2011).</w:t>
      </w:r>
    </w:p>
    <w:p w:rsidR="00963F2A" w:rsidRDefault="00FD1A5A">
      <w:pPr>
        <w:pStyle w:val="CaptionedFigure"/>
      </w:pPr>
      <w:r>
        <w:rPr>
          <w:noProof/>
          <w:lang w:bidi="he-IL"/>
        </w:rPr>
        <w:drawing>
          <wp:inline distT="0" distB="0" distL="0" distR="0">
            <wp:extent cx="4587290" cy="3669832"/>
            <wp:effectExtent l="0" t="0" r="0" b="0"/>
            <wp:docPr id="4" name="Picture" descr="Figure 4:.  response conditional ROC curves for the two discrimination responses. The area under the curve is a measure of metacognitive sensitivity. Bottom right inset: distributions of the area under the curve for the two responses, across participants. Overall, participants had lower metacognitive insight into the accuracy of their ‘O’ responses."/>
            <wp:cNvGraphicFramePr/>
            <a:graphic xmlns:a="http://schemas.openxmlformats.org/drawingml/2006/main">
              <a:graphicData uri="http://schemas.openxmlformats.org/drawingml/2006/picture">
                <pic:pic xmlns:pic="http://schemas.openxmlformats.org/drawingml/2006/picture">
                  <pic:nvPicPr>
                    <pic:cNvPr id="0" name="Picture" descr="asymmetry_files/figure-docx/rc-ROC-pilot-1.png"/>
                    <pic:cNvPicPr>
                      <a:picLocks noChangeAspect="1" noChangeArrowheads="1"/>
                    </pic:cNvPicPr>
                  </pic:nvPicPr>
                  <pic:blipFill>
                    <a:blip r:embed="rId25"/>
                    <a:stretch>
                      <a:fillRect/>
                    </a:stretch>
                  </pic:blipFill>
                  <pic:spPr bwMode="auto">
                    <a:xfrm>
                      <a:off x="0" y="0"/>
                      <a:ext cx="4587290" cy="3669832"/>
                    </a:xfrm>
                    <a:prstGeom prst="rect">
                      <a:avLst/>
                    </a:prstGeom>
                    <a:noFill/>
                    <a:ln w="9525">
                      <a:noFill/>
                      <a:headEnd/>
                      <a:tailEnd/>
                    </a:ln>
                  </pic:spPr>
                </pic:pic>
              </a:graphicData>
            </a:graphic>
          </wp:inline>
        </w:drawing>
      </w:r>
    </w:p>
    <w:p w:rsidR="00963F2A" w:rsidRPr="00041AA5" w:rsidRDefault="00FD1A5A">
      <w:pPr>
        <w:pStyle w:val="ImageCaption"/>
        <w:rPr>
          <w:rFonts w:asciiTheme="majorHAnsi" w:hAnsiTheme="majorHAnsi" w:cstheme="majorHAnsi"/>
          <w:sz w:val="22"/>
          <w:szCs w:val="22"/>
        </w:rPr>
      </w:pPr>
      <w:r w:rsidRPr="00041AA5">
        <w:rPr>
          <w:rFonts w:asciiTheme="majorHAnsi" w:hAnsiTheme="majorHAnsi" w:cstheme="majorHAnsi"/>
          <w:i/>
          <w:sz w:val="22"/>
          <w:szCs w:val="22"/>
        </w:rPr>
        <w:t>Figure</w:t>
      </w:r>
      <w:r w:rsidRPr="00041AA5">
        <w:rPr>
          <w:rFonts w:asciiTheme="majorHAnsi" w:hAnsiTheme="majorHAnsi" w:cstheme="majorHAnsi"/>
          <w:sz w:val="22"/>
          <w:szCs w:val="22"/>
        </w:rPr>
        <w:t xml:space="preserve"> </w:t>
      </w:r>
      <w:r w:rsidRPr="00041AA5">
        <w:rPr>
          <w:rFonts w:asciiTheme="majorHAnsi" w:hAnsiTheme="majorHAnsi" w:cstheme="majorHAnsi"/>
          <w:i/>
          <w:sz w:val="22"/>
          <w:szCs w:val="22"/>
        </w:rPr>
        <w:t>4:</w:t>
      </w:r>
      <w:r w:rsidRPr="00041AA5">
        <w:rPr>
          <w:rFonts w:asciiTheme="majorHAnsi" w:hAnsiTheme="majorHAnsi" w:cstheme="majorHAnsi"/>
          <w:sz w:val="22"/>
          <w:szCs w:val="22"/>
        </w:rPr>
        <w:t xml:space="preserve">.  response conditional ROC curves for the two discrimination responses. </w:t>
      </w:r>
      <w:r w:rsidRPr="00041AA5">
        <w:rPr>
          <w:rFonts w:asciiTheme="majorHAnsi" w:hAnsiTheme="majorHAnsi" w:cstheme="majorHAnsi"/>
          <w:sz w:val="22"/>
          <w:szCs w:val="22"/>
        </w:rPr>
        <w:t>The area under the curve is a measure of metacognitive sensitivity. Bottom right inset: distributions of the area under the curve for the two responses, across participants. Overall, participants had lower metacognitive insight into the accuracy of their ‘</w:t>
      </w:r>
      <w:r w:rsidRPr="00041AA5">
        <w:rPr>
          <w:rFonts w:asciiTheme="majorHAnsi" w:hAnsiTheme="majorHAnsi" w:cstheme="majorHAnsi"/>
          <w:sz w:val="22"/>
          <w:szCs w:val="22"/>
        </w:rPr>
        <w:t>O’ responses.</w:t>
      </w:r>
    </w:p>
    <w:sectPr w:rsidR="00963F2A" w:rsidRPr="00041AA5" w:rsidSect="00CB20D0">
      <w:headerReference w:type="even" r:id="rId26"/>
      <w:headerReference w:type="default" r:id="rId27"/>
      <w:headerReference w:type="first" r:id="rId28"/>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1A5A" w:rsidRDefault="00FD1A5A">
      <w:pPr>
        <w:spacing w:before="0" w:after="0" w:line="240" w:lineRule="auto"/>
      </w:pPr>
      <w:r>
        <w:separator/>
      </w:r>
    </w:p>
  </w:endnote>
  <w:endnote w:type="continuationSeparator" w:id="0">
    <w:p w:rsidR="00FD1A5A" w:rsidRDefault="00FD1A5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1A5A" w:rsidRDefault="00FD1A5A">
      <w:r>
        <w:separator/>
      </w:r>
    </w:p>
  </w:footnote>
  <w:footnote w:type="continuationSeparator" w:id="0">
    <w:p w:rsidR="00FD1A5A" w:rsidRDefault="00FD1A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9259971"/>
      <w:docPartObj>
        <w:docPartGallery w:val="Page Numbers (Top of Page)"/>
        <w:docPartUnique/>
      </w:docPartObj>
    </w:sdtPr>
    <w:sdtEndPr>
      <w:rPr>
        <w:rStyle w:val="PageNumber"/>
      </w:rPr>
    </w:sdtEndPr>
    <w:sdtContent>
      <w:p w:rsidR="00AF36ED" w:rsidRDefault="00FD1A5A"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AF36ED" w:rsidRDefault="00FD1A5A"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922177194"/>
      <w:docPartObj>
        <w:docPartGallery w:val="Page Numbers (Top of Page)"/>
        <w:docPartUnique/>
      </w:docPartObj>
    </w:sdtPr>
    <w:sdtEndPr>
      <w:rPr>
        <w:rStyle w:val="PageNumber"/>
      </w:rPr>
    </w:sdtEndPr>
    <w:sdtContent>
      <w:p w:rsidR="00AF36ED" w:rsidRDefault="00FD1A5A"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41AA5">
          <w:rPr>
            <w:rStyle w:val="PageNumber"/>
            <w:noProof/>
          </w:rPr>
          <w:t>2</w:t>
        </w:r>
        <w:r>
          <w:rPr>
            <w:rStyle w:val="PageNumber"/>
          </w:rPr>
          <w:fldChar w:fldCharType="end"/>
        </w:r>
      </w:p>
    </w:sdtContent>
  </w:sdt>
  <w:p w:rsidR="00AF36ED" w:rsidRPr="00AF36ED" w:rsidRDefault="00FD1A5A" w:rsidP="00572FF5">
    <w:pPr>
      <w:pStyle w:val="Header"/>
      <w:ind w:right="357"/>
      <w:rPr>
        <w:lang w:val="de-DE"/>
      </w:rPr>
    </w:pPr>
    <w:r w:rsidRPr="005036C4">
      <w:t>asymmetry</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3596050"/>
      <w:docPartObj>
        <w:docPartGallery w:val="Page Numbers (Top of Page)"/>
        <w:docPartUnique/>
      </w:docPartObj>
    </w:sdtPr>
    <w:sdtEndPr>
      <w:rPr>
        <w:rStyle w:val="PageNumber"/>
      </w:rPr>
    </w:sdtEndPr>
    <w:sdtContent>
      <w:p w:rsidR="00CB20D0" w:rsidRDefault="00FD1A5A" w:rsidP="00CB20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41AA5">
          <w:rPr>
            <w:rStyle w:val="PageNumber"/>
            <w:noProof/>
          </w:rPr>
          <w:t>1</w:t>
        </w:r>
        <w:r>
          <w:rPr>
            <w:rStyle w:val="PageNumber"/>
          </w:rPr>
          <w:fldChar w:fldCharType="end"/>
        </w:r>
      </w:p>
    </w:sdtContent>
  </w:sdt>
  <w:p w:rsidR="00CB20D0" w:rsidRPr="00CB20D0" w:rsidRDefault="00FD1A5A" w:rsidP="00CB20D0">
    <w:pPr>
      <w:pStyle w:val="Header"/>
      <w:ind w:right="357"/>
      <w:rPr>
        <w:lang w:val="de-DE"/>
      </w:rPr>
    </w:pPr>
    <w:r w:rsidRPr="005036C4">
      <w:t>Running head: asymmetry</w:t>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1A27D85"/>
    <w:multiLevelType w:val="multilevel"/>
    <w:tmpl w:val="FB581F2C"/>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1" w15:restartNumberingAfterBreak="0">
    <w:nsid w:val="B3CBBDEE"/>
    <w:multiLevelType w:val="multilevel"/>
    <w:tmpl w:val="B5506588"/>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2" w15:restartNumberingAfterBreak="0">
    <w:nsid w:val="EA454B4C"/>
    <w:multiLevelType w:val="multilevel"/>
    <w:tmpl w:val="6AE4218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4"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5"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6"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7"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8"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9"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10"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11"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2"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47261BAD"/>
    <w:multiLevelType w:val="multilevel"/>
    <w:tmpl w:val="A7E8EA14"/>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16" w15:restartNumberingAfterBreak="0">
    <w:nsid w:val="4FBE019A"/>
    <w:multiLevelType w:val="multilevel"/>
    <w:tmpl w:val="854A03D2"/>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17" w15:restartNumberingAfterBreak="0">
    <w:nsid w:val="71315DCA"/>
    <w:multiLevelType w:val="multilevel"/>
    <w:tmpl w:val="201E9DA0"/>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13"/>
  </w:num>
  <w:num w:numId="2">
    <w:abstractNumId w:val="13"/>
  </w:num>
  <w:num w:numId="3">
    <w:abstractNumId w:val="14"/>
  </w:num>
  <w:num w:numId="4">
    <w:abstractNumId w:val="3"/>
  </w:num>
  <w:num w:numId="5">
    <w:abstractNumId w:val="4"/>
  </w:num>
  <w:num w:numId="6">
    <w:abstractNumId w:val="5"/>
  </w:num>
  <w:num w:numId="7">
    <w:abstractNumId w:val="6"/>
  </w:num>
  <w:num w:numId="8">
    <w:abstractNumId w:val="11"/>
  </w:num>
  <w:num w:numId="9">
    <w:abstractNumId w:val="7"/>
  </w:num>
  <w:num w:numId="10">
    <w:abstractNumId w:val="8"/>
  </w:num>
  <w:num w:numId="11">
    <w:abstractNumId w:val="9"/>
  </w:num>
  <w:num w:numId="12">
    <w:abstractNumId w:val="10"/>
  </w:num>
  <w:num w:numId="13">
    <w:abstractNumId w:val="12"/>
  </w:num>
  <w:num w:numId="14">
    <w:abstractNumId w:val="14"/>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abstractNumId w:val="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abstractNumId w:val="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
    <w:abstractNumId w:val="1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5">
    <w:abstractNumId w:val="0"/>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590D07"/>
    <w:rsid w:val="00011C8B"/>
    <w:rsid w:val="00041AA5"/>
    <w:rsid w:val="004E29B3"/>
    <w:rsid w:val="00590D07"/>
    <w:rsid w:val="007205E5"/>
    <w:rsid w:val="00784D58"/>
    <w:rsid w:val="008D6863"/>
    <w:rsid w:val="00963F2A"/>
    <w:rsid w:val="00B86B75"/>
    <w:rsid w:val="00BC48D5"/>
    <w:rsid w:val="00C36279"/>
    <w:rsid w:val="00D0277C"/>
    <w:rsid w:val="00E315A3"/>
    <w:rsid w:val="00FD1A5A"/>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3CB58"/>
  <w15:docId w15:val="{13F2D8F9-32C1-4DBE-B976-B4EC0C2A8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006D3F"/>
    <w:pPr>
      <w:spacing w:before="0"/>
    </w:pPr>
  </w:style>
  <w:style w:type="table" w:customStyle="1" w:styleId="Table">
    <w:name w:val="Table"/>
    <w:basedOn w:val="TableNormal"/>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06D3F"/>
    <w:pPr>
      <w:keepNext/>
    </w:pPr>
  </w:style>
  <w:style w:type="paragraph" w:customStyle="1" w:styleId="ImageCaption">
    <w:name w:val="Image Caption"/>
    <w:basedOn w:val="Caption"/>
    <w:rsid w:val="00421B26"/>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nhideWhenUsed/>
    <w:rsid w:val="00AF36ED"/>
    <w:pPr>
      <w:tabs>
        <w:tab w:val="center" w:pos="4536"/>
        <w:tab w:val="right" w:pos="9072"/>
      </w:tabs>
      <w:spacing w:after="0"/>
    </w:pPr>
  </w:style>
  <w:style w:type="character" w:customStyle="1" w:styleId="HeaderChar">
    <w:name w:val="Header Char"/>
    <w:basedOn w:val="DefaultParagraphFont"/>
    <w:link w:val="Header"/>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006D3F"/>
    <w:pPr>
      <w:pageBreakBefore/>
    </w:p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matanmazor/asymmetry" TargetMode="External"/><Relationship Id="rId18" Type="http://schemas.openxmlformats.org/officeDocument/2006/relationships/hyperlink" Target="https://www.R-project.org/"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CRAN.R-project.org/package=dplyr" TargetMode="External"/><Relationship Id="rId7" Type="http://schemas.openxmlformats.org/officeDocument/2006/relationships/hyperlink" Target="mailto:mtnmzor@gmail.com" TargetMode="External"/><Relationship Id="rId12" Type="http://schemas.openxmlformats.org/officeDocument/2006/relationships/hyperlink" Target="https://github.com/matanmazor/asymmetry/blob/master/Experiments/Q_in_O/results/pilot/jatos_results_batch3.csv" TargetMode="External"/><Relationship Id="rId17" Type="http://schemas.openxmlformats.org/officeDocument/2006/relationships/hyperlink" Target="https://CRAN.R-project.org/package=BayesFactor" TargetMode="External"/><Relationship Id="rId25"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CRAN.R-project.org/package=pwr" TargetMode="External"/><Relationship Id="rId20" Type="http://schemas.openxmlformats.org/officeDocument/2006/relationships/hyperlink" Target="https://ggplot2.tidyverse.org"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tanmazor/asymmetry" TargetMode="External"/><Relationship Id="rId24"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doi.org/10.32614/RJ-2018-017" TargetMode="External"/><Relationship Id="rId23" Type="http://schemas.openxmlformats.org/officeDocument/2006/relationships/hyperlink" Target="https://CRAN.R-project.org/package=cowplot" TargetMode="External"/><Relationship Id="rId28"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hyperlink" Target="https://CRAN.R-project.org/package=broom" TargetMode="External"/><Relationship Id="rId4" Type="http://schemas.openxmlformats.org/officeDocument/2006/relationships/webSettings" Target="webSettings.xml"/><Relationship Id="rId9" Type="http://schemas.openxmlformats.org/officeDocument/2006/relationships/hyperlink" Target="http://167.99.93.4/publix/13/start?batchId=45&amp;generalMultiple" TargetMode="External"/><Relationship Id="rId14" Type="http://schemas.openxmlformats.org/officeDocument/2006/relationships/hyperlink" Target="https://github.com/crsh/papaja" TargetMode="External"/><Relationship Id="rId22" Type="http://schemas.openxmlformats.org/officeDocument/2006/relationships/hyperlink" Target="https://CRAN.R-project.org/package=tidyr"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28</Pages>
  <Words>6285</Words>
  <Characters>35830</Characters>
  <Application>Microsoft Office Word</Application>
  <DocSecurity>0</DocSecurity>
  <Lines>298</Lines>
  <Paragraphs>84</Paragraphs>
  <ScaleCrop>false</ScaleCrop>
  <HeadingPairs>
    <vt:vector size="2" baseType="variant">
      <vt:variant>
        <vt:lpstr>Titel</vt:lpstr>
      </vt:variant>
      <vt:variant>
        <vt:i4>1</vt:i4>
      </vt:variant>
    </vt:vector>
  </HeadingPairs>
  <TitlesOfParts>
    <vt:vector size="1" baseType="lpstr">
      <vt:lpstr>Untitled</vt:lpstr>
    </vt:vector>
  </TitlesOfParts>
  <Company/>
  <LinksUpToDate>false</LinksUpToDate>
  <CharactersWithSpaces>42031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Asymmetries in the representation of presence and absence</dc:title>
  <dc:creator/>
  <cp:keywords/>
  <cp:lastModifiedBy>Matan Mazor</cp:lastModifiedBy>
  <cp:revision>4</cp:revision>
  <dcterms:created xsi:type="dcterms:W3CDTF">2020-09-02T13:12:00Z</dcterms:created>
  <dcterms:modified xsi:type="dcterms:W3CDTF">2020-09-02T13:16:00Z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r-references.bib</vt:lpwstr>
  </property>
  <property fmtid="{D5CDD505-2E9C-101B-9397-08002B2CF9AE}" pid="4" name="classoption">
    <vt:lpwstr>man</vt:lpwstr>
  </property>
  <property fmtid="{D5CDD505-2E9C-101B-9397-08002B2CF9AE}" pid="5" name="csl">
    <vt:lpwstr>C:\Users\mmazor\Documents\R\R-3.6.0\library\papaja\rmd\apa6.csl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yes</vt:lpwstr>
  </property>
  <property fmtid="{D5CDD505-2E9C-101B-9397-08002B2CF9AE}" pid="10" name="footnotelist">
    <vt:lpwstr>no</vt:lpwstr>
  </property>
  <property fmtid="{D5CDD505-2E9C-101B-9397-08002B2CF9AE}" pid="11" name="linenumbers">
    <vt:lpwstr>yes</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asymmetry</vt:lpwstr>
  </property>
  <property fmtid="{D5CDD505-2E9C-101B-9397-08002B2CF9AE}" pid="15" name="tablelist">
    <vt:lpwstr>no</vt:lpwstr>
  </property>
  <property fmtid="{D5CDD505-2E9C-101B-9397-08002B2CF9AE}" pid="16" name="wordcount">
    <vt:lpwstr>4162</vt:lpwstr>
  </property>
</Properties>
</file>