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17B286F" w14:textId="77777777" w:rsidR="009A62BA" w:rsidRDefault="00E926AA">
      <w:pPr>
        <w:pStyle w:val="Title"/>
      </w:pPr>
      <w:r>
        <w:t>Metacognitive and search asymmetries for feature presence and absence</w:t>
      </w:r>
    </w:p>
    <w:p w14:paraId="6CCAE6F0" w14:textId="77777777" w:rsidR="009A62BA" w:rsidRDefault="00E926AA">
      <w:pPr>
        <w:pStyle w:val="Author"/>
      </w:pPr>
      <w:r>
        <w:t>Matan Mazor</w:t>
      </w:r>
      <w:r>
        <w:rPr>
          <w:vertAlign w:val="superscript"/>
        </w:rPr>
        <w:t>1</w:t>
      </w:r>
      <w:r>
        <w:t>, Rani Moran</w:t>
      </w:r>
      <w:r>
        <w:rPr>
          <w:vertAlign w:val="superscript"/>
        </w:rPr>
        <w:t>2</w:t>
      </w:r>
      <w:r>
        <w:t>, &amp; Stephen M. Fleming</w:t>
      </w:r>
      <w:r>
        <w:rPr>
          <w:vertAlign w:val="superscript"/>
        </w:rPr>
        <w:t>1,2,3</w:t>
      </w:r>
    </w:p>
    <w:p w14:paraId="3F0A835E" w14:textId="77777777" w:rsidR="009A62BA" w:rsidRDefault="00E926AA">
      <w:pPr>
        <w:pStyle w:val="Author"/>
      </w:pPr>
      <w:r>
        <w:rPr>
          <w:vertAlign w:val="superscript"/>
        </w:rPr>
        <w:t>1</w:t>
      </w:r>
      <w:r>
        <w:t xml:space="preserve"> Wellcome Centre for Human Neuroimaging, UCL</w:t>
      </w:r>
    </w:p>
    <w:p w14:paraId="115E8E09" w14:textId="77777777" w:rsidR="009A62BA" w:rsidRDefault="00E926AA">
      <w:pPr>
        <w:pStyle w:val="Author"/>
      </w:pPr>
      <w:r>
        <w:rPr>
          <w:vertAlign w:val="superscript"/>
        </w:rPr>
        <w:t>2</w:t>
      </w:r>
      <w:r>
        <w:t xml:space="preserve"> Max Planck UCL Centre for Computational Psychiatry and Ageing Research</w:t>
      </w:r>
    </w:p>
    <w:p w14:paraId="737B9D6C" w14:textId="77777777" w:rsidR="009A62BA" w:rsidRDefault="00E926AA">
      <w:pPr>
        <w:pStyle w:val="Author"/>
      </w:pPr>
      <w:r>
        <w:rPr>
          <w:vertAlign w:val="superscript"/>
        </w:rPr>
        <w:t>3</w:t>
      </w:r>
      <w:r>
        <w:t xml:space="preserve"> </w:t>
      </w:r>
      <w:r>
        <w:t>Department of Experimental Psychology, UCL</w:t>
      </w:r>
    </w:p>
    <w:p w14:paraId="6853343D" w14:textId="77777777" w:rsidR="009A62BA" w:rsidRDefault="00E926AA">
      <w:pPr>
        <w:pStyle w:val="Compact"/>
      </w:pPr>
      <w:r>
        <w:t>                                                                                                                                                    </w:t>
      </w:r>
    </w:p>
    <w:p w14:paraId="5B07F9AD" w14:textId="77777777" w:rsidR="009A62BA" w:rsidRDefault="00E926AA">
      <w:pPr>
        <w:pStyle w:val="BodyText"/>
      </w:pPr>
      <w:r>
        <w:t> </w:t>
      </w:r>
    </w:p>
    <w:p w14:paraId="5C0242CE" w14:textId="77777777" w:rsidR="009A62BA" w:rsidRDefault="00E926AA">
      <w:pPr>
        <w:pStyle w:val="BodyText"/>
      </w:pPr>
      <w:r>
        <w:t> </w:t>
      </w:r>
    </w:p>
    <w:p w14:paraId="5DC9B452" w14:textId="77777777" w:rsidR="009A62BA" w:rsidRDefault="00E926AA">
      <w:pPr>
        <w:pStyle w:val="BodyText"/>
      </w:pPr>
      <w:r>
        <w:t> </w:t>
      </w:r>
    </w:p>
    <w:p w14:paraId="1E17A5AD" w14:textId="77777777" w:rsidR="009A62BA" w:rsidRDefault="00E926AA">
      <w:pPr>
        <w:pStyle w:val="BodyText"/>
      </w:pPr>
      <w:r>
        <w:t> </w:t>
      </w:r>
    </w:p>
    <w:p w14:paraId="0C3BA94E" w14:textId="77777777" w:rsidR="009A62BA" w:rsidRDefault="00E926AA">
      <w:pPr>
        <w:pStyle w:val="BodyText"/>
      </w:pPr>
      <w:r>
        <w:t> </w:t>
      </w:r>
    </w:p>
    <w:p w14:paraId="67DAC570" w14:textId="77777777" w:rsidR="009A62BA" w:rsidRDefault="00E926AA">
      <w:pPr>
        <w:pStyle w:val="BodyText"/>
      </w:pPr>
      <w:r>
        <w:t> </w:t>
      </w:r>
    </w:p>
    <w:p w14:paraId="4ED54B0E" w14:textId="77777777" w:rsidR="009A62BA" w:rsidRDefault="00E926AA">
      <w:pPr>
        <w:pStyle w:val="Author"/>
      </w:pPr>
      <w:r>
        <w:t>Author note</w:t>
      </w:r>
    </w:p>
    <w:p w14:paraId="67AD2B1B" w14:textId="77777777" w:rsidR="009A62BA" w:rsidRDefault="00E926AA">
      <w:pPr>
        <w:pStyle w:val="BodyText"/>
      </w:pPr>
      <w:r>
        <w:t>Correspondence concerning this article s</w:t>
      </w:r>
      <w:r>
        <w:t xml:space="preserve">hould be addressed to Matan Mazor, 12 Queen Square, London WC1N 3BG. E-mail: </w:t>
      </w:r>
      <w:hyperlink r:id="rId7">
        <w:r>
          <w:rPr>
            <w:rStyle w:val="Hyperlink"/>
          </w:rPr>
          <w:t>mtnmzor@gmail.com</w:t>
        </w:r>
      </w:hyperlink>
    </w:p>
    <w:p w14:paraId="795B8E89" w14:textId="77777777" w:rsidR="009A62BA" w:rsidRDefault="00E926AA">
      <w:pPr>
        <w:pStyle w:val="Title"/>
      </w:pPr>
      <w:r>
        <w:lastRenderedPageBreak/>
        <w:t>Abstract</w:t>
      </w:r>
    </w:p>
    <w:p w14:paraId="487814E8" w14:textId="77777777" w:rsidR="009A62BA" w:rsidRDefault="00E926AA">
      <w:pPr>
        <w:pStyle w:val="BodyText"/>
      </w:pPr>
      <w:r>
        <w:t>Subjective confidence judgments are less aligned with objective performance following decisions about the ab</w:t>
      </w:r>
      <w:r>
        <w:t>sence, rather than the presence of a target object. This metacognitive asymmetry between decisions about presence and absence is one instance of a general difficulty to infer, represent, and attend to absence. In visual search, the presence/absence asymmet</w:t>
      </w:r>
      <w:r>
        <w:t>ry has been demonstrated not only for the presence or absence of the target object, but also of stimulus features. Using stimulus pairs that have been shown to induce asymmetries in visual search, here we ask whether similar sub-stimulus presence/absence a</w:t>
      </w:r>
      <w:r>
        <w:t>symmetries will be revealed for metacognitive evalutations of perceptual discrimination .</w:t>
      </w:r>
    </w:p>
    <w:p w14:paraId="41C6DAED" w14:textId="77777777" w:rsidR="009A62BA" w:rsidRDefault="00E926AA">
      <w:pPr>
        <w:pStyle w:val="BodyText"/>
      </w:pPr>
      <w:r>
        <w:rPr>
          <w:i/>
        </w:rPr>
        <w:t>Keywords:</w:t>
      </w:r>
      <w:r>
        <w:t xml:space="preserve"> metacognition, visual search, attention</w:t>
      </w:r>
    </w:p>
    <w:p w14:paraId="04C99D5A" w14:textId="7FE6E151" w:rsidR="009A62BA" w:rsidRDefault="00E926AA" w:rsidP="00DF5E15">
      <w:pPr>
        <w:pStyle w:val="BodyText"/>
      </w:pPr>
      <w:r>
        <w:rPr>
          <w:i/>
        </w:rPr>
        <w:t>Word count:</w:t>
      </w:r>
      <w:r>
        <w:t xml:space="preserve"> 5</w:t>
      </w:r>
      <w:r w:rsidR="00DF5E15">
        <w:t>753</w:t>
      </w:r>
      <w:bookmarkStart w:id="0" w:name="_GoBack"/>
      <w:bookmarkEnd w:id="0"/>
    </w:p>
    <w:p w14:paraId="45A644B6" w14:textId="77777777" w:rsidR="009A62BA" w:rsidRDefault="00E926AA">
      <w:pPr>
        <w:pStyle w:val="Title"/>
      </w:pPr>
      <w:r>
        <w:t>Metacognitive and search asymmetries for feature presence and absence</w:t>
      </w:r>
    </w:p>
    <w:p w14:paraId="16A6CABE" w14:textId="77777777" w:rsidR="009A62BA" w:rsidRDefault="00E926AA">
      <w:pPr>
        <w:pStyle w:val="Heading1"/>
      </w:pPr>
      <w:bookmarkStart w:id="1" w:name="introduction"/>
      <w:r>
        <w:t>Introduction</w:t>
      </w:r>
      <w:bookmarkEnd w:id="1"/>
    </w:p>
    <w:p w14:paraId="17BC9F96" w14:textId="77777777" w:rsidR="009A62BA" w:rsidRDefault="00E926AA">
      <w:pPr>
        <w:pStyle w:val="FirstParagraph"/>
      </w:pPr>
      <w:r>
        <w:t>Representing the</w:t>
      </w:r>
      <w:r>
        <w:t xml:space="preserve"> absence of things is more cognitively demanding than representing their presence. This is evident in slower reactions to stimulus absence than stimulus presence in visual search (e.g, Wolfe, 1998) and visual near-threshold detection (Mazor, Friston, &amp; Fle</w:t>
      </w:r>
      <w:r>
        <w:t xml:space="preserve">ming, 2020), in lower and less reliable subjective confidence ratings for inference about absence (Kanai, Walsh, &amp; Tseng, 2010; Kellij, Fahrenfort, Lau, Peters, &amp; Odegaard, 2018; Meuwese, Loon, </w:t>
      </w:r>
      <w:r>
        <w:lastRenderedPageBreak/>
        <w:t>Lamme, &amp; Fahrenfort, 2014), in a general difficulty to form as</w:t>
      </w:r>
      <w:r>
        <w:t>sociations with absence (Newman, Wolff, &amp; Hearst, 1980), and in the late acquisition of the explicit representation of absence in development (e.g., Sainsbury, 1971; Coldren &amp; Haaf, 2000; for a review on the representation of nothing see Hearst, 1991).</w:t>
      </w:r>
    </w:p>
    <w:p w14:paraId="3A42F8B0" w14:textId="77777777" w:rsidR="009A62BA" w:rsidRDefault="00E926AA">
      <w:pPr>
        <w:pStyle w:val="BodyText"/>
      </w:pPr>
      <w:r>
        <w:t>The</w:t>
      </w:r>
      <w:r>
        <w:t xml:space="preserve"> perceptual presence/absence asymmetry is one instance of a more general difficulty in inferring absence from the absence of evidence, common to philosophy (Locke, 1836), statistics (Altman &amp; Bland, 1995) and criminal law (Tuzet, 2015). At any given moment</w:t>
      </w:r>
      <w:r>
        <w:t xml:space="preserve">, there are many more things that are not there than things that are there. As a result, and in order to efficiently represent the environment, perceptual and cognitive systems have evolved to represent presences, and absence is assumed as a default state </w:t>
      </w:r>
      <w:r>
        <w:t>(Oaksford, 2002; Oaksford &amp; Chater, 2001). One corollary of this is that presence can be inferred from bottom-up sensory signals, but absence is never explicitly represented in the sensory channels and must instead by inferred based on top-down expectation</w:t>
      </w:r>
      <w:r>
        <w:t xml:space="preserve">s about the likelihood of detection a hypothetical signal, had it been present. This form of higher-order reasoning is known as </w:t>
      </w:r>
      <w:r>
        <w:rPr>
          <w:i/>
        </w:rPr>
        <w:t>argument from epistemic closure</w:t>
      </w:r>
      <w:r>
        <w:t xml:space="preserve">, or </w:t>
      </w:r>
      <w:r>
        <w:rPr>
          <w:i/>
        </w:rPr>
        <w:t>argument from self knowledge</w:t>
      </w:r>
      <w:r>
        <w:t xml:space="preserve"> (</w:t>
      </w:r>
      <w:r>
        <w:rPr>
          <w:i/>
        </w:rPr>
        <w:t>If it was true, I would have known it</w:t>
      </w:r>
      <w:r>
        <w:t>; Walton, 1992; De Cornul</w:t>
      </w:r>
      <w:r>
        <w:t>ier, 1988).</w:t>
      </w:r>
    </w:p>
    <w:p w14:paraId="364B3E72" w14:textId="77777777" w:rsidR="009A62BA" w:rsidRDefault="00E926AA">
      <w:pPr>
        <w:pStyle w:val="BodyText"/>
      </w:pPr>
      <w:r>
        <w:t xml:space="preserve">Two clear manifestations of the presence/absence asymmetry in human adults are observed in visual search and in subjective confidence ratings in near-threshold detection. In visual search, participants report whether a target stimulus appeared </w:t>
      </w:r>
      <w:r>
        <w:t>or not among distractor stimuli in a search array. Participants typically take longer to identify the absence compared with the presence of a target, even in searches that are not performed serially, and even when the search array appears for a shorter per</w:t>
      </w:r>
      <w:r>
        <w:t xml:space="preserve">iod of time than required to perform eye movements (Dosher, Han, &amp; Lu, 2004; Wolfe, 1998). In near-threshold detection, participants report whether a single faint target stimulus appeared, or not. When asked to rate their subjective confidence </w:t>
      </w:r>
      <w:r>
        <w:lastRenderedPageBreak/>
        <w:t>after making</w:t>
      </w:r>
      <w:r>
        <w:t xml:space="preserve"> detection decisions, subjective confidence ratings following ‘target absent’ judgments are commonly lower, and less correlated with objective accuracy, than following ‘target present’ judgments (Kanai et al., 2010; Kellij et al., 2018; Mazor et al., 2020;</w:t>
      </w:r>
      <w:r>
        <w:t xml:space="preserve"> Meuwese et al., 2014). Here, the presence/absence asymmetry is evident in the metacognitive evaluation of the decision, instead of the decision process itself.</w:t>
      </w:r>
    </w:p>
    <w:p w14:paraId="7FA77254" w14:textId="77777777" w:rsidR="009A62BA" w:rsidRDefault="00E926AA">
      <w:pPr>
        <w:pStyle w:val="CaptionedFigure"/>
      </w:pPr>
      <w:r>
        <w:rPr>
          <w:noProof/>
          <w:lang w:bidi="he-IL"/>
        </w:rPr>
        <w:drawing>
          <wp:inline distT="0" distB="0" distL="0" distR="0" wp14:anchorId="52D7DA04" wp14:editId="3DD3B913">
            <wp:extent cx="5969000" cy="4705735"/>
            <wp:effectExtent l="0" t="0" r="0" b="0"/>
            <wp:docPr id="1" name="Picture" descr="Figure 1.  Left panel: in visual search, search times are typically slower (and search time/set size slopes shallower) for target absent trials, compared with target present trials. Right panel: in visual detection, subjective confidence ratings following judgments about target absence are typically lower, and less correlated with objective accuracy than following judgments about target presence. This metacognitive asymmetry manifests as lower area under the response-conditional ROC curve for ‘yes’ responses (blue) compared with ‘no’ responses (red)."/>
            <wp:cNvGraphicFramePr/>
            <a:graphic xmlns:a="http://schemas.openxmlformats.org/drawingml/2006/main">
              <a:graphicData uri="http://schemas.openxmlformats.org/drawingml/2006/picture">
                <pic:pic xmlns:pic="http://schemas.openxmlformats.org/drawingml/2006/picture">
                  <pic:nvPicPr>
                    <pic:cNvPr id="0" name="Picture" descr="figures/asymmetries.png"/>
                    <pic:cNvPicPr>
                      <a:picLocks noChangeAspect="1" noChangeArrowheads="1"/>
                    </pic:cNvPicPr>
                  </pic:nvPicPr>
                  <pic:blipFill>
                    <a:blip r:embed="rId8"/>
                    <a:stretch>
                      <a:fillRect/>
                    </a:stretch>
                  </pic:blipFill>
                  <pic:spPr bwMode="auto">
                    <a:xfrm>
                      <a:off x="0" y="0"/>
                      <a:ext cx="5969000" cy="4705735"/>
                    </a:xfrm>
                    <a:prstGeom prst="rect">
                      <a:avLst/>
                    </a:prstGeom>
                    <a:noFill/>
                    <a:ln w="9525">
                      <a:noFill/>
                      <a:headEnd/>
                      <a:tailEnd/>
                    </a:ln>
                  </pic:spPr>
                </pic:pic>
              </a:graphicData>
            </a:graphic>
          </wp:inline>
        </w:drawing>
      </w:r>
    </w:p>
    <w:p w14:paraId="55D9F554" w14:textId="77777777" w:rsidR="009A62BA" w:rsidRDefault="00E926AA">
      <w:pPr>
        <w:pStyle w:val="ImageCaption"/>
      </w:pPr>
      <w:r>
        <w:rPr>
          <w:i/>
        </w:rPr>
        <w:t>Figure</w:t>
      </w:r>
      <w:r>
        <w:t xml:space="preserve"> </w:t>
      </w:r>
      <w:r>
        <w:rPr>
          <w:i/>
        </w:rPr>
        <w:t>1</w:t>
      </w:r>
      <w:r>
        <w:t>.  Left panel: in visual search, search times are typically slower (and search time/s</w:t>
      </w:r>
      <w:r>
        <w:t>et size slopes shallower) for target absent trials, compared with target present trials. Right panel: in visual detection, subjective confidence ratings following judgments about target absence are typically lower, and less correlated with objective accura</w:t>
      </w:r>
      <w:r>
        <w:t xml:space="preserve">cy than following judgments about </w:t>
      </w:r>
      <w:r>
        <w:lastRenderedPageBreak/>
        <w:t>target presence. This metacognitive asymmetry manifests as lower area under the response-conditional ROC curve for ‘yes’ responses (blue) compared with ‘no’ responses (red).</w:t>
      </w:r>
    </w:p>
    <w:p w14:paraId="25A57840" w14:textId="77777777" w:rsidR="009A62BA" w:rsidRDefault="00E926AA">
      <w:pPr>
        <w:pStyle w:val="BodyText"/>
      </w:pPr>
      <w:r>
        <w:t>In visual search, the presence/absence asymmetry</w:t>
      </w:r>
      <w:r>
        <w:t xml:space="preserve"> is not exclusive to the representation of entire objects, but operates at the level of object features too. In a seminal paper, Treisman and Souther (1985) demonstrated that searching for an object that is marked by a distinguishing feature (for example, </w:t>
      </w:r>
      <w:r>
        <w:t xml:space="preserve">searching for a </w:t>
      </w:r>
      <w:r>
        <w:rPr>
          <w:i/>
        </w:rPr>
        <w:t>Q</w:t>
      </w:r>
      <w:r>
        <w:t xml:space="preserve"> among </w:t>
      </w:r>
      <w:r>
        <w:rPr>
          <w:i/>
        </w:rPr>
        <w:t>O</w:t>
      </w:r>
      <w:r>
        <w:t xml:space="preserve">s) is more efficient than searching for an object that is marked by the absence of a distinguishing feature (searching for an </w:t>
      </w:r>
      <w:r>
        <w:rPr>
          <w:i/>
        </w:rPr>
        <w:t>O</w:t>
      </w:r>
      <w:r>
        <w:t xml:space="preserve"> among </w:t>
      </w:r>
      <w:r>
        <w:rPr>
          <w:i/>
        </w:rPr>
        <w:t>Q</w:t>
      </w:r>
      <w:r>
        <w:t xml:space="preserve">s). Treisman and Gormican (1988) then used this </w:t>
      </w:r>
      <w:r>
        <w:rPr>
          <w:i/>
        </w:rPr>
        <w:t>search-asymmetry</w:t>
      </w:r>
      <w:r>
        <w:t xml:space="preserve"> as a litmus test for what count</w:t>
      </w:r>
      <w:r>
        <w:t xml:space="preserve">s as feature presence and what counts as feature absence in early vision. For example, the fact that </w:t>
      </w:r>
      <w:r>
        <w:rPr>
          <w:i/>
        </w:rPr>
        <w:t>C</w:t>
      </w:r>
      <w:r>
        <w:t>-in-</w:t>
      </w:r>
      <w:r>
        <w:rPr>
          <w:i/>
        </w:rPr>
        <w:t>O</w:t>
      </w:r>
      <w:r>
        <w:t xml:space="preserve"> search is easier than </w:t>
      </w:r>
      <w:r>
        <w:rPr>
          <w:i/>
        </w:rPr>
        <w:t>O</w:t>
      </w:r>
      <w:r>
        <w:t>-in-</w:t>
      </w:r>
      <w:r>
        <w:rPr>
          <w:i/>
        </w:rPr>
        <w:t>C</w:t>
      </w:r>
      <w:r>
        <w:t xml:space="preserve"> </w:t>
      </w:r>
      <w:r>
        <w:t>search was used as evidence for that free ends, rather than shape-closeness, are positively encoded in vision. The asymmetry between magenta-in-red and red-in-magenta searches was explained as resulting from blue being present in magenta but absent in red.</w:t>
      </w:r>
      <w:r>
        <w:t xml:space="preserve"> In the same way curvature and tilt were identified as positive visual features based on search time benefits for tilted-in-vertical and curved-in-straight searches, compared with the inverse searches.</w:t>
      </w:r>
    </w:p>
    <w:p w14:paraId="5802F5D5" w14:textId="77777777" w:rsidR="009A62BA" w:rsidRDefault="00E926AA">
      <w:pPr>
        <w:pStyle w:val="CaptionedFigure"/>
      </w:pPr>
      <w:r>
        <w:rPr>
          <w:noProof/>
          <w:lang w:bidi="he-IL"/>
        </w:rPr>
        <w:drawing>
          <wp:inline distT="0" distB="0" distL="0" distR="0" wp14:anchorId="7E6FDDC6" wp14:editId="249BE6E6">
            <wp:extent cx="4898114" cy="1636967"/>
            <wp:effectExtent l="0" t="0" r="0" b="0"/>
            <wp:docPr id="2" name="Picture" descr="Figure 2.  It is easier to find the circle with the vertical line among plain circles (left panel) than vice versa. Adapted from Wolfe (2001)"/>
            <wp:cNvGraphicFramePr/>
            <a:graphic xmlns:a="http://schemas.openxmlformats.org/drawingml/2006/main">
              <a:graphicData uri="http://schemas.openxmlformats.org/drawingml/2006/picture">
                <pic:pic xmlns:pic="http://schemas.openxmlformats.org/drawingml/2006/picture">
                  <pic:nvPicPr>
                    <pic:cNvPr id="0" name="Picture" descr="figures/wolfeexample.png"/>
                    <pic:cNvPicPr>
                      <a:picLocks noChangeAspect="1" noChangeArrowheads="1"/>
                    </pic:cNvPicPr>
                  </pic:nvPicPr>
                  <pic:blipFill>
                    <a:blip r:embed="rId9"/>
                    <a:stretch>
                      <a:fillRect/>
                    </a:stretch>
                  </pic:blipFill>
                  <pic:spPr bwMode="auto">
                    <a:xfrm>
                      <a:off x="0" y="0"/>
                      <a:ext cx="4898114" cy="1636967"/>
                    </a:xfrm>
                    <a:prstGeom prst="rect">
                      <a:avLst/>
                    </a:prstGeom>
                    <a:noFill/>
                    <a:ln w="9525">
                      <a:noFill/>
                      <a:headEnd/>
                      <a:tailEnd/>
                    </a:ln>
                  </pic:spPr>
                </pic:pic>
              </a:graphicData>
            </a:graphic>
          </wp:inline>
        </w:drawing>
      </w:r>
    </w:p>
    <w:p w14:paraId="049DCA45" w14:textId="77777777" w:rsidR="009A62BA" w:rsidRDefault="00E926AA">
      <w:pPr>
        <w:pStyle w:val="ImageCaption"/>
      </w:pPr>
      <w:r>
        <w:rPr>
          <w:i/>
        </w:rPr>
        <w:t>Figure</w:t>
      </w:r>
      <w:r>
        <w:t xml:space="preserve"> </w:t>
      </w:r>
      <w:r>
        <w:rPr>
          <w:i/>
        </w:rPr>
        <w:t>2</w:t>
      </w:r>
      <w:r>
        <w:t>.  It is easier to find the circle with the vertical line among plain circles (left panel) than vice versa. Adapted from Wolfe (2001)</w:t>
      </w:r>
    </w:p>
    <w:p w14:paraId="34655D08" w14:textId="77777777" w:rsidR="009A62BA" w:rsidRDefault="00E926AA">
      <w:pPr>
        <w:pStyle w:val="BodyText"/>
      </w:pPr>
      <w:r>
        <w:lastRenderedPageBreak/>
        <w:t xml:space="preserve">Contextual effects have led Treisman and Gormican (1988) to further propose that search asymmetry may sometimes reflect a </w:t>
      </w:r>
      <w:r>
        <w:t xml:space="preserve">deviation from a default state (also termed null, prototypical, or standard state). This default state is partly hard-coded into the wiring of the system, and partly learned and change according to context. For example, the </w:t>
      </w:r>
      <w:r>
        <w:rPr>
          <w:i/>
        </w:rPr>
        <w:t>Q</w:t>
      </w:r>
      <w:r>
        <w:t>-in-</w:t>
      </w:r>
      <w:r>
        <w:rPr>
          <w:i/>
        </w:rPr>
        <w:t>O</w:t>
      </w:r>
      <w:r>
        <w:t>/</w:t>
      </w:r>
      <w:r>
        <w:rPr>
          <w:i/>
        </w:rPr>
        <w:t>O</w:t>
      </w:r>
      <w:r>
        <w:t>-in-</w:t>
      </w:r>
      <w:r>
        <w:rPr>
          <w:i/>
        </w:rPr>
        <w:t>Q</w:t>
      </w:r>
      <w:r>
        <w:t xml:space="preserve"> asymmetry is evide</w:t>
      </w:r>
      <w:r>
        <w:t>nt already at 3 months of age, suggesting that it corresponds to a core feature of the perceptual system (Adler &amp; Gallego, 2014; Colombo, Ryther, Frick, &amp; Gifford, 1995). Other aspects of the default state are sensitive to context and prior experience; for</w:t>
      </w:r>
      <w:r>
        <w:t xml:space="preserve"> example, searching for a tilted line among vertical distractors is easier than the inverse search, but this effect reverses when the search array is displayed inside a tilted frame (Treisman &amp; Gormican, 1988). An example for experience-driven asymmetry is</w:t>
      </w:r>
      <w:r>
        <w:t xml:space="preserve"> that searching for an inverted letter among canonically presented letters is easier than the inverse search (Frith, 1974; Wang, Cavanagh, &amp; Green, 1994). This similar effect for feature presence and deviation from a default state is consistent with the id</w:t>
      </w:r>
      <w:r>
        <w:t>ea that search asymmetry reveals a true asymmetry in our cognitive modeling of the world, where absence is assumed as default unless evidence is available for the contrary.</w:t>
      </w:r>
    </w:p>
    <w:p w14:paraId="2FAEDCF1" w14:textId="77777777" w:rsidR="009A62BA" w:rsidRDefault="00E926AA">
      <w:pPr>
        <w:pStyle w:val="BodyText"/>
      </w:pPr>
      <w:r>
        <w:t>To date, this feature-level presence/absence asymmetry has only been demonstrated i</w:t>
      </w:r>
      <w:r>
        <w:t>n the visual search domain. Here we ask whether a similar feature-level asymmetry is evident in another domain where presence/absence asymmetry has been documented at the object level: metacognition for visual detection judgments. Lower metacognitive accur</w:t>
      </w:r>
      <w:r>
        <w:t>acy for negative responses has been observed not only for detection tasks, but also for recognition memory (Higham, Perfect, &amp; Bruno, 2009) and lexicality judgments (Fleming &amp; Dolan, 2010) – both can be described as detection among items in an internal rep</w:t>
      </w:r>
      <w:r>
        <w:t xml:space="preserve">resentation space (memory storage, orthographic lexicon). According to one interpretation, this metacognitive asymmetry reflects a qualitative difference between the metacognitive representations of decisions that are driven by the presence or the absence </w:t>
      </w:r>
      <w:r>
        <w:t xml:space="preserve">of evidence (Meuwese et al., 2014). One variant of this interpretation </w:t>
      </w:r>
      <w:r>
        <w:lastRenderedPageBreak/>
        <w:t>posits that the metacognitive evaluation of negative judgments is more computationally demanding because instead of relying on evidence for absence, it relies on the counterfactual like</w:t>
      </w:r>
      <w:r>
        <w:t>lihood of evidence for presence (contrast “I saw it was not there” with “If it was there I would not have missed it”; Mazor et al., 2020). Crucially, metacognitive asymmetry is not observed for discrimination judgments about the identity of the stimulus, w</w:t>
      </w:r>
      <w:r>
        <w:t>here evidence can be available in support of both responses. For example, when asking participants to decide whether it was a fish or a different animal that appeared in a degraded image, confidence ratings for the two responses are similarly indicative of</w:t>
      </w:r>
      <w:r>
        <w:t xml:space="preserve"> true objective accuracy (Meuwese et al., 2014).</w:t>
      </w:r>
    </w:p>
    <w:p w14:paraId="625EC5A4" w14:textId="77777777" w:rsidR="009A62BA" w:rsidRDefault="00E926AA">
      <w:pPr>
        <w:pStyle w:val="BodyText"/>
      </w:pPr>
      <w:r>
        <w:t>Instead of reflecting a higher-order need in counterfactual reasoning for inference about absence, the metacognitive asymmetry can be interpreted as reflecting an asymmetry in the perceptual and cognitive un</w:t>
      </w:r>
      <w:r>
        <w:t>certainties that are associated with the representations of presence and absence. For example, Kellij et al. (2018) successfully replicated the metacognitive asymmetry effect in a simple Signal Detection model with higher variance for the signal distributi</w:t>
      </w:r>
      <w:r>
        <w:t>on. In such Signal Detection models of subjective confidence, decisions are taken based on a single perceptual sample that is drawn from a probability distribution, and confidence is assumed to be proportional to the absolute distance of the perceptual sam</w:t>
      </w:r>
      <w:r>
        <w:t>ple from a decision criterion. Assuming unequal variance for the signal and noise distributions, their model did not have to posit any asymmetry in higher-order processes in order to fit the empirical data.</w:t>
      </w:r>
    </w:p>
    <w:p w14:paraId="68D11857" w14:textId="77777777" w:rsidR="009A62BA" w:rsidRDefault="00E926AA">
      <w:pPr>
        <w:pStyle w:val="BodyText"/>
      </w:pPr>
      <w:r>
        <w:t>Similarly, probabilistic parallel models of visua</w:t>
      </w:r>
      <w:r>
        <w:t>l search, inspired by Signal Detection Theory, frame search asymmetry effects not as marking a categorical difference between two different search types, but as reflecting the effect of stimulus uncertainty on the noisiness of the search process which is a</w:t>
      </w:r>
      <w:r>
        <w:t xml:space="preserve">lways parallel (Dosher et al., 2004; Vincent, 2011). In the context of visual search, participants are assumed to use a noisy perceptual sample to decide whether the </w:t>
      </w:r>
      <w:r>
        <w:lastRenderedPageBreak/>
        <w:t>visual array included the target stimulus, or not. Vincent (2011) demonstrated that differ</w:t>
      </w:r>
      <w:r>
        <w:t>ences in search efficiency can be accounted for by the relative difference in internal uncertainty associated with the two stimulus categories. He found support for his unequal-variance account in the slope of standardized ROC curves, extracted from subjec</w:t>
      </w:r>
      <w:r>
        <w:t>tive confidence estimates in a vertical/tilted visual search task with briefly presented (94 ms) search arrays. According to his analysis, the advantage for tilted-in-vertical compared with vertical-in-tilted search can reflect the higher perceptual uncert</w:t>
      </w:r>
      <w:r>
        <w:t xml:space="preserve">ainty that is associated with tilted (feature present) stimuli, compared with vertical (feature absent) ones. Similarly, reverse correlation analysis revealed higher variability in the internal representation of </w:t>
      </w:r>
      <w:r>
        <w:rPr>
          <w:i/>
        </w:rPr>
        <w:t>Q</w:t>
      </w:r>
      <w:r>
        <w:t xml:space="preserve"> (feature present), compared to </w:t>
      </w:r>
      <w:r>
        <w:rPr>
          <w:i/>
        </w:rPr>
        <w:t>O</w:t>
      </w:r>
      <w:r>
        <w:t xml:space="preserve"> (feature </w:t>
      </w:r>
      <w:r>
        <w:t xml:space="preserve">absent) stimuli (Saiki, 2008). In contrast, Dosher et al. (2004) used a speed accuracy trade-off (SAT) method to compare the predictions of parallel and serial models of visual search asymmetry for </w:t>
      </w:r>
      <w:r>
        <w:rPr>
          <w:i/>
        </w:rPr>
        <w:t>C</w:t>
      </w:r>
      <w:r>
        <w:t xml:space="preserve"> and </w:t>
      </w:r>
      <w:r>
        <w:rPr>
          <w:i/>
        </w:rPr>
        <w:t>O</w:t>
      </w:r>
      <w:r>
        <w:t>. A model-comparison favored a probabilistic parall</w:t>
      </w:r>
      <w:r>
        <w:t xml:space="preserve">el model for both search types, but in contrast with the results of Vincent (2011) the error probabilities in the winning model were consistent with an unequal-variance SDT model in which the </w:t>
      </w:r>
      <w:r>
        <w:rPr>
          <w:i/>
        </w:rPr>
        <w:t>C</w:t>
      </w:r>
      <w:r>
        <w:t xml:space="preserve"> (feature present) distribution was marked by a </w:t>
      </w:r>
      <w:r>
        <w:rPr>
          <w:i/>
        </w:rPr>
        <w:t>lower</w:t>
      </w:r>
      <w:r>
        <w:t xml:space="preserve"> standard </w:t>
      </w:r>
      <w:r>
        <w:t xml:space="preserve">deviation than the </w:t>
      </w:r>
      <w:r>
        <w:rPr>
          <w:i/>
        </w:rPr>
        <w:t>O</w:t>
      </w:r>
      <w:r>
        <w:t xml:space="preserve"> (feature absent) distribution.</w:t>
      </w:r>
    </w:p>
    <w:p w14:paraId="389FB3CC" w14:textId="77777777" w:rsidR="009A62BA" w:rsidRDefault="00E926AA">
      <w:pPr>
        <w:pStyle w:val="BodyText"/>
      </w:pPr>
      <w:r>
        <w:t>The unequal variance interpretation may not be mutually exclusive to the proposal that search and metacognitive asymmetries reflect a qualitative difference between feature-positive and feature-negative r</w:t>
      </w:r>
      <w:r>
        <w:t>epresentations. As pointed out by Treisman and Gormican (1988), and in line with Weber’s law and with the noise profile of biological neurons, the positive representation of features and objects may be more variable, or noisy, than the representation of th</w:t>
      </w:r>
      <w:r>
        <w:t>eir absence. The unequal variance identified by signal detection models may be based in this qualitative difference between the two classes of representation. Furthermore, a parallel search model may account for search asymmetry for presentation times belo</w:t>
      </w:r>
      <w:r>
        <w:t xml:space="preserve">w the time taken to complete a saccade, but an additional level of asymmetry, governed by endogenous attention mechanisms, may be </w:t>
      </w:r>
      <w:r>
        <w:lastRenderedPageBreak/>
        <w:t>necessary to account for search times in natural displays that are not limited in time. Finally, it is not clear that search a</w:t>
      </w:r>
      <w:r>
        <w:t xml:space="preserve">symmetry for different stimulus types originates from the same underlying mechanism. Different mechanisms may explain search asymmetry for local features (e.g., </w:t>
      </w:r>
      <w:r>
        <w:rPr>
          <w:i/>
        </w:rPr>
        <w:t>Q</w:t>
      </w:r>
      <w:r>
        <w:t>/</w:t>
      </w:r>
      <w:r>
        <w:rPr>
          <w:i/>
        </w:rPr>
        <w:t>O</w:t>
      </w:r>
      <w:r>
        <w:t>), global features (e.g., tilt or curvature), and familiarity-based asymmetries (e.g., inver</w:t>
      </w:r>
      <w:r>
        <w:t>ted letters). Specifically, there is currently no evidence available to support an unequal-variance account for context- and experience-dependent asymmetries, such as the one observed for inverted letters.</w:t>
      </w:r>
    </w:p>
    <w:p w14:paraId="61C16C0E" w14:textId="77777777" w:rsidR="009A62BA" w:rsidRDefault="00E926AA">
      <w:pPr>
        <w:pStyle w:val="BodyText"/>
      </w:pPr>
      <w:r>
        <w:t>Here, we propose to measure participants’ metacogn</w:t>
      </w:r>
      <w:r>
        <w:t>itive evaluations of discrimination judgments between a selected set of stimulus pairs that exhibit asymmetry in visual search. By doing so, we aim to tackle two questions. First, looking at individual and stimulus-related differences in the two measures w</w:t>
      </w:r>
      <w:r>
        <w:t>ill allow us to directly test whether search and metacognitive asymmetries originate from identical, partly overlapping, or completely distinct underlying mechanism. Second, with confidence ratings in single-item discrimination we will get a measure of the</w:t>
      </w:r>
      <w:r>
        <w:t xml:space="preserve"> relative variability for the two stimulus types that is independent of visual search. This measure can then inform and constrain theories of search asymmetry, and more specifically support or rule out theories that rely on unequal-variance assumptions to </w:t>
      </w:r>
      <w:r>
        <w:t>explain search time differences.</w:t>
      </w:r>
    </w:p>
    <w:p w14:paraId="545B31D9" w14:textId="77777777" w:rsidR="009A62BA" w:rsidRDefault="00E926AA">
      <w:pPr>
        <w:pStyle w:val="BodyText"/>
      </w:pPr>
      <w:r>
        <w:t>More specifically, this study is set to test the following hypotheses:</w:t>
      </w:r>
    </w:p>
    <w:p w14:paraId="499426BA" w14:textId="77777777" w:rsidR="009A62BA" w:rsidRDefault="00E926AA">
      <w:pPr>
        <w:pStyle w:val="Compact"/>
        <w:numPr>
          <w:ilvl w:val="0"/>
          <w:numId w:val="15"/>
        </w:numPr>
      </w:pPr>
      <w:r>
        <w:rPr>
          <w:b/>
        </w:rPr>
        <w:t>Hypothesis 1</w:t>
      </w:r>
      <w:r>
        <w:t>: Metacognitive asymmetry, measured as the area between the two response conditional ROC curves, follows the same direction as search asymme</w:t>
      </w:r>
      <w:r>
        <w:t>try.</w:t>
      </w:r>
    </w:p>
    <w:p w14:paraId="539E7FB1" w14:textId="77777777" w:rsidR="009A62BA" w:rsidRDefault="00E926AA">
      <w:pPr>
        <w:pStyle w:val="FirstParagraph"/>
      </w:pPr>
      <w:r>
        <w:t>This hypothesis will be tested for the following stimulus features for which search asymmetry has been demonstrated: addition of a stimulus part, open ends, color, curvature, orientation and familiarity. We will test Hypothesis 1 separately for each s</w:t>
      </w:r>
      <w:r>
        <w:t>timulus feature, by replicating the original search asymmetry (for example, Q-in-O search is more efficient that O-in-</w:t>
      </w:r>
      <w:r>
        <w:lastRenderedPageBreak/>
        <w:t>Q search) and testing the null hypothesis that metacognitive sensitivity (measured as the area under the response conditional ROC curve) f</w:t>
      </w:r>
      <w:r>
        <w:t xml:space="preserve">or the efficient target (e.g., </w:t>
      </w:r>
      <w:r>
        <w:rPr>
          <w:i/>
        </w:rPr>
        <w:t>Q</w:t>
      </w:r>
      <w:r>
        <w:t xml:space="preserve">) is equal to metacognitive sensitivity for the inefficient target (e.g., for the case of </w:t>
      </w:r>
      <w:r>
        <w:rPr>
          <w:i/>
        </w:rPr>
        <w:t>Q</w:t>
      </w:r>
      <w:r>
        <w:t>/</w:t>
      </w:r>
      <w:r>
        <w:rPr>
          <w:i/>
        </w:rPr>
        <w:t>O</w:t>
      </w:r>
      <w:r>
        <w:t xml:space="preserve">, </w:t>
      </w:r>
      <m:oMath>
        <m:sSub>
          <m:sSubPr>
            <m:ctrlPr>
              <w:rPr>
                <w:rFonts w:ascii="Cambria Math" w:hAnsi="Cambria Math"/>
              </w:rPr>
            </m:ctrlPr>
          </m:sSubPr>
          <m:e>
            <m:r>
              <w:rPr>
                <w:rFonts w:ascii="Cambria Math" w:hAnsi="Cambria Math"/>
              </w:rPr>
              <m:t>H</m:t>
            </m:r>
          </m:e>
          <m:sub>
            <m:r>
              <w:rPr>
                <w:rFonts w:ascii="Cambria Math" w:hAnsi="Cambria Math"/>
              </w:rPr>
              <m:t>o</m:t>
            </m:r>
          </m:sub>
        </m:sSub>
        <m:r>
          <w:rPr>
            <w:rFonts w:ascii="Cambria Math" w:hAnsi="Cambria Math"/>
          </w:rPr>
          <m:t>=</m:t>
        </m:r>
        <m:r>
          <w:rPr>
            <w:rFonts w:ascii="Cambria Math" w:hAnsi="Cambria Math"/>
          </w:rPr>
          <m:t>auRO</m:t>
        </m:r>
        <m:sSub>
          <m:sSubPr>
            <m:ctrlPr>
              <w:rPr>
                <w:rFonts w:ascii="Cambria Math" w:hAnsi="Cambria Math"/>
              </w:rPr>
            </m:ctrlPr>
          </m:sSubPr>
          <m:e>
            <m:r>
              <w:rPr>
                <w:rFonts w:ascii="Cambria Math" w:hAnsi="Cambria Math"/>
              </w:rPr>
              <m:t>C</m:t>
            </m:r>
          </m:e>
          <m:sub>
            <m:r>
              <w:rPr>
                <w:rFonts w:ascii="Cambria Math" w:hAnsi="Cambria Math"/>
              </w:rPr>
              <m:t>Q</m:t>
            </m:r>
          </m:sub>
        </m:sSub>
        <m:r>
          <w:rPr>
            <w:rFonts w:ascii="Cambria Math" w:hAnsi="Cambria Math"/>
          </w:rPr>
          <m:t>≤</m:t>
        </m:r>
        <m:r>
          <w:rPr>
            <w:rFonts w:ascii="Cambria Math" w:hAnsi="Cambria Math"/>
          </w:rPr>
          <m:t>auRO</m:t>
        </m:r>
        <m:sSub>
          <m:sSubPr>
            <m:ctrlPr>
              <w:rPr>
                <w:rFonts w:ascii="Cambria Math" w:hAnsi="Cambria Math"/>
              </w:rPr>
            </m:ctrlPr>
          </m:sSubPr>
          <m:e>
            <m:r>
              <w:rPr>
                <w:rFonts w:ascii="Cambria Math" w:hAnsi="Cambria Math"/>
              </w:rPr>
              <m:t>C</m:t>
            </m:r>
          </m:e>
          <m:sub>
            <m:r>
              <w:rPr>
                <w:rFonts w:ascii="Cambria Math" w:hAnsi="Cambria Math"/>
              </w:rPr>
              <m:t>O</m:t>
            </m:r>
          </m:sub>
        </m:sSub>
      </m:oMath>
      <w:r>
        <w:t>).</w:t>
      </w:r>
    </w:p>
    <w:p w14:paraId="02958624" w14:textId="77777777" w:rsidR="009A62BA" w:rsidRDefault="00E926AA">
      <w:pPr>
        <w:pStyle w:val="Compact"/>
        <w:numPr>
          <w:ilvl w:val="0"/>
          <w:numId w:val="16"/>
        </w:numPr>
      </w:pPr>
      <w:r>
        <w:rPr>
          <w:b/>
        </w:rPr>
        <w:t>Hypothesis 2</w:t>
      </w:r>
      <w:r>
        <w:t>: Individual differences in the direction and magnitude of search asymmetry positive</w:t>
      </w:r>
      <w:r>
        <w:t>ly covary with individual differences in the direction and magnitude of metacognitive asymmetry.</w:t>
      </w:r>
    </w:p>
    <w:p w14:paraId="3D47C894" w14:textId="77777777" w:rsidR="009A62BA" w:rsidRDefault="00E926AA">
      <w:pPr>
        <w:pStyle w:val="FirstParagraph"/>
      </w:pPr>
      <w:r>
        <w:t>This hypothesis will be tested separately for each experiment by measuring the correlation between search asymmetry and metacognitive asymmetry across particip</w:t>
      </w:r>
      <w:r>
        <w:t>ants. We will also measure the overall correlation between search and metacognitive asymmetries across participants, pooled from all 6 experiments.</w:t>
      </w:r>
    </w:p>
    <w:p w14:paraId="05E6A3C6" w14:textId="77777777" w:rsidR="009A62BA" w:rsidRDefault="00E926AA">
      <w:pPr>
        <w:pStyle w:val="Compact"/>
        <w:numPr>
          <w:ilvl w:val="0"/>
          <w:numId w:val="17"/>
        </w:numPr>
      </w:pPr>
      <w:r>
        <w:rPr>
          <w:b/>
        </w:rPr>
        <w:t>Hypothesis 3</w:t>
      </w:r>
      <w:r>
        <w:t xml:space="preserve"> (conditioned on the results of Hypothesis 2): The positive association between search- and meta</w:t>
      </w:r>
      <w:r>
        <w:t>congitive- asymmetries is mediated by the sigma-ratio, extracted from confidence ratings in the discrimination task.</w:t>
      </w:r>
    </w:p>
    <w:p w14:paraId="7C258A6A" w14:textId="77777777" w:rsidR="009A62BA" w:rsidRDefault="00E926AA">
      <w:pPr>
        <w:pStyle w:val="FirstParagraph"/>
      </w:pPr>
      <w:r>
        <w:t>The sigma-ratio is a measure of the relative variance for the two stimulus types, that will be estimated from the zROC slopes extracted fro</w:t>
      </w:r>
      <w:r>
        <w:t xml:space="preserve">m confidence ratings in the discrimination task (Wickens, 2002, sec. 3.4). This hypothesis will be tested by comparing the correlation between search and metacognitive asymmetries with the part correlation, after removing variance that is explained by the </w:t>
      </w:r>
      <w:r>
        <w:t>sigma-ratio from the metacognitive asymmetry score.</w:t>
      </w:r>
    </w:p>
    <w:p w14:paraId="473BFA25" w14:textId="77777777" w:rsidR="009A62BA" w:rsidRDefault="00E926AA">
      <w:pPr>
        <w:pStyle w:val="Heading1"/>
      </w:pPr>
      <w:bookmarkStart w:id="2" w:name="methods"/>
      <w:r>
        <w:t>Methods</w:t>
      </w:r>
      <w:bookmarkEnd w:id="2"/>
    </w:p>
    <w:p w14:paraId="62F83E2C" w14:textId="77777777" w:rsidR="009A62BA" w:rsidRDefault="00E926AA">
      <w:pPr>
        <w:pStyle w:val="FirstParagraph"/>
      </w:pPr>
      <w:r>
        <w:t xml:space="preserve">We report how we determined our sample size, all data exclusions (if any), all manipulations, and all measures in the study. </w:t>
      </w:r>
    </w:p>
    <w:p w14:paraId="68760AEE" w14:textId="77777777" w:rsidR="009A62BA" w:rsidRDefault="00E926AA">
      <w:pPr>
        <w:pStyle w:val="Heading2"/>
      </w:pPr>
      <w:bookmarkStart w:id="3" w:name="participants"/>
      <w:r>
        <w:lastRenderedPageBreak/>
        <w:t>Participants</w:t>
      </w:r>
      <w:bookmarkEnd w:id="3"/>
    </w:p>
    <w:p w14:paraId="138E2A59" w14:textId="77777777" w:rsidR="009A62BA" w:rsidRDefault="00E926AA">
      <w:pPr>
        <w:pStyle w:val="FirstParagraph"/>
      </w:pPr>
      <w:r>
        <w:t>The research complies with all relevant ethical regulatio</w:t>
      </w:r>
      <w:r>
        <w:t>ns, and was approved by the Research Ethics Committee of University College London (study ID number 1260/003). Participants will be recruited via Prolific, and will give informed consent prior to their participation. They will be selected based on their ac</w:t>
      </w:r>
      <w:r>
        <w:t>ceptance rate (&gt;95%) and for being native English speakers. For each of the six experiments, we will collect data until we reach 320 included participants (after applying our pre-registered exclusion criteria). The entire experiment will take 15 minutes to</w:t>
      </w:r>
      <w:r>
        <w:t xml:space="preserve"> complete (median completion time in our pilot data: 13.5 minutes). Participants will be paid £2 for their participation, equivalent to an hourly wage of £8.</w:t>
      </w:r>
    </w:p>
    <w:p w14:paraId="4FFB62A9" w14:textId="77777777" w:rsidR="009A62BA" w:rsidRDefault="00E926AA">
      <w:pPr>
        <w:pStyle w:val="Heading2"/>
      </w:pPr>
      <w:bookmarkStart w:id="4" w:name="procedure"/>
      <w:r>
        <w:t>Procedure</w:t>
      </w:r>
      <w:bookmarkEnd w:id="4"/>
    </w:p>
    <w:p w14:paraId="7A04CE6C" w14:textId="77777777" w:rsidR="009A62BA" w:rsidRDefault="00E926AA">
      <w:pPr>
        <w:pStyle w:val="FirstParagraph"/>
      </w:pPr>
      <w:r>
        <w:t>Experiments will be identical, except for the identity of the target and distractor stim</w:t>
      </w:r>
      <w:r>
        <w:t>uli. In what follows we will describe the procedure for the stimulus pair ‘</w:t>
      </w:r>
      <w:r>
        <w:rPr>
          <w:i/>
        </w:rPr>
        <w:t>Q</w:t>
      </w:r>
      <w:r>
        <w:t>’ and ‘</w:t>
      </w:r>
      <w:r>
        <w:rPr>
          <w:i/>
        </w:rPr>
        <w:t>O</w:t>
      </w:r>
      <w:r>
        <w:t xml:space="preserve">’. The full Experiment as delivered to participants is available here: </w:t>
      </w:r>
      <w:hyperlink r:id="rId10">
        <w:r>
          <w:rPr>
            <w:rStyle w:val="Hyperlink"/>
          </w:rPr>
          <w:t>http://167.99.93.4/publix/13/start?batchId=45&amp;generalMultiple</w:t>
        </w:r>
      </w:hyperlink>
      <w:r>
        <w:t>.</w:t>
      </w:r>
    </w:p>
    <w:p w14:paraId="25700E0E" w14:textId="77777777" w:rsidR="009A62BA" w:rsidRDefault="00E926AA">
      <w:pPr>
        <w:pStyle w:val="BodyText"/>
      </w:pPr>
      <w:r>
        <w:t>The Experiment will comprise three parts (“challenges”) presented in pseudorandomized order.</w:t>
      </w:r>
    </w:p>
    <w:p w14:paraId="56D7FCA3" w14:textId="77777777" w:rsidR="009A62BA" w:rsidRDefault="00E926AA">
      <w:pPr>
        <w:numPr>
          <w:ilvl w:val="0"/>
          <w:numId w:val="18"/>
        </w:numPr>
      </w:pPr>
      <w:r>
        <w:t>The first part will comprise 32 visual search trials. In these trials participants will search for o</w:t>
      </w:r>
      <w:r>
        <w:t>ne ‘</w:t>
      </w:r>
      <w:r>
        <w:rPr>
          <w:i/>
        </w:rPr>
        <w:t>Q</w:t>
      </w:r>
      <w:r>
        <w:t>’ in an array of 1, 2, 4 or 8 ‘</w:t>
      </w:r>
      <w:r>
        <w:rPr>
          <w:i/>
        </w:rPr>
        <w:t>O</w:t>
      </w:r>
      <w:r>
        <w:t>’ distractors. The target stimulus will be present in half of the trials, and absent in the other half. Participants will be instructed to use their keyboard to indicate whether the target was present (press J) or absen</w:t>
      </w:r>
      <w:r>
        <w:t xml:space="preserve">t (press F) as quickly and accurately as possible. Each trial will start with an instruction screen, indicating the search target (500-1000 ms), followed by the presentation of the search array. The search array will </w:t>
      </w:r>
      <w:r>
        <w:lastRenderedPageBreak/>
        <w:t>remain visible until a response is reco</w:t>
      </w:r>
      <w:r>
        <w:t>rded. Feedback about accuracy will be delivered. To motivate accurate responses, the feedback screen will remain for 1000 ms following correct responses and for 4000 ms following incorrect responses. The visual search block will start with four practice tr</w:t>
      </w:r>
      <w:r>
        <w:t>ials of distractor set-size 4 that will not be included in the final analysis. The actual block of 32 trials will start once all four practice trials are answered correctly, otherwise additional practice trials will be delivered.</w:t>
      </w:r>
    </w:p>
    <w:p w14:paraId="3703D2FB" w14:textId="77777777" w:rsidR="009A62BA" w:rsidRDefault="00E926AA">
      <w:pPr>
        <w:numPr>
          <w:ilvl w:val="0"/>
          <w:numId w:val="18"/>
        </w:numPr>
      </w:pPr>
      <w:r>
        <w:t>The second part will be id</w:t>
      </w:r>
      <w:r>
        <w:t>entical to the first part, except for the identity of the target stimulus. Here ‘</w:t>
      </w:r>
      <w:r>
        <w:rPr>
          <w:i/>
        </w:rPr>
        <w:t>O</w:t>
      </w:r>
      <w:r>
        <w:t>’ will server as target and ‘</w:t>
      </w:r>
      <w:r>
        <w:rPr>
          <w:i/>
        </w:rPr>
        <w:t>Q</w:t>
      </w:r>
      <w:r>
        <w:t>’ as distractor.</w:t>
      </w:r>
    </w:p>
    <w:p w14:paraId="28C1B1E4" w14:textId="77777777" w:rsidR="009A62BA" w:rsidRDefault="00E926AA">
      <w:pPr>
        <w:numPr>
          <w:ilvl w:val="0"/>
          <w:numId w:val="18"/>
        </w:numPr>
      </w:pPr>
      <w:r>
        <w:t xml:space="preserve">In the third part, participants will make discrimination judgments between masked </w:t>
      </w:r>
      <w:r>
        <w:rPr>
          <w:i/>
        </w:rPr>
        <w:t>Q</w:t>
      </w:r>
      <w:r>
        <w:t xml:space="preserve"> and </w:t>
      </w:r>
      <w:r>
        <w:rPr>
          <w:i/>
        </w:rPr>
        <w:t>O</w:t>
      </w:r>
      <w:r>
        <w:t xml:space="preserve"> stimuli, and rate their subjective de</w:t>
      </w:r>
      <w:r>
        <w:t>cision confidence on a continuous scale. After a fixation cross (500 ms), the target stimulus will be presented in the center of the screen for 50 ms, followed by a mask (100 ms). Stimulus onset asynchrony will be calibrated online in a 1-up-2-down procedu</w:t>
      </w:r>
      <w:r>
        <w:t xml:space="preserve">re (Levitt, 1971), with a multiplicative step factor of 0.9, and starting from 30 milliseconds. Participants will then use their keyboard to make a discrimination judgment. Following their response, subjective confidence ratings will be given on an analog </w:t>
      </w:r>
      <w:r>
        <w:t xml:space="preserve">scale by controlling the size of a colored circle with the computer mouse. High confidence will be mapped to a big, blue circle, and low confidence to a small, red circle. In Experiment 3 (color asymmetry), the confidence circle will be presented in white </w:t>
      </w:r>
      <w:r>
        <w:t>for all confidence levels. The confidence rating phase will terminate once participants click their mouse, but not before 2000 ms. No feedback will be delivered about accuracy.</w:t>
      </w:r>
    </w:p>
    <w:p w14:paraId="29D22EFA" w14:textId="77777777" w:rsidR="009A62BA" w:rsidRDefault="00E926AA">
      <w:pPr>
        <w:pStyle w:val="CaptionedFigure"/>
      </w:pPr>
      <w:r>
        <w:rPr>
          <w:noProof/>
          <w:lang w:bidi="he-IL"/>
        </w:rPr>
        <w:lastRenderedPageBreak/>
        <w:drawing>
          <wp:inline distT="0" distB="0" distL="0" distR="0" wp14:anchorId="0BF5C3AC" wp14:editId="6E606736">
            <wp:extent cx="5969000" cy="4739762"/>
            <wp:effectExtent l="0" t="0" r="0" b="0"/>
            <wp:docPr id="3" name="Picture" descr="Figure 3.  Experiment structure. Three experimental parts will be delivered in pseudorandomized order: a discrimination task with subjective confidence ratings, and two visual search tasks with different distractor/target assignments. Asymmetry effects will be tested for six stimulus features in six separate experiments."/>
            <wp:cNvGraphicFramePr/>
            <a:graphic xmlns:a="http://schemas.openxmlformats.org/drawingml/2006/main">
              <a:graphicData uri="http://schemas.openxmlformats.org/drawingml/2006/picture">
                <pic:pic xmlns:pic="http://schemas.openxmlformats.org/drawingml/2006/picture">
                  <pic:nvPicPr>
                    <pic:cNvPr id="0" name="Picture" descr="figures/trial_structure.png"/>
                    <pic:cNvPicPr>
                      <a:picLocks noChangeAspect="1" noChangeArrowheads="1"/>
                    </pic:cNvPicPr>
                  </pic:nvPicPr>
                  <pic:blipFill>
                    <a:blip r:embed="rId11"/>
                    <a:stretch>
                      <a:fillRect/>
                    </a:stretch>
                  </pic:blipFill>
                  <pic:spPr bwMode="auto">
                    <a:xfrm>
                      <a:off x="0" y="0"/>
                      <a:ext cx="5969000" cy="4739762"/>
                    </a:xfrm>
                    <a:prstGeom prst="rect">
                      <a:avLst/>
                    </a:prstGeom>
                    <a:noFill/>
                    <a:ln w="9525">
                      <a:noFill/>
                      <a:headEnd/>
                      <a:tailEnd/>
                    </a:ln>
                  </pic:spPr>
                </pic:pic>
              </a:graphicData>
            </a:graphic>
          </wp:inline>
        </w:drawing>
      </w:r>
    </w:p>
    <w:p w14:paraId="7F60FAAB" w14:textId="77777777" w:rsidR="009A62BA" w:rsidRDefault="00E926AA">
      <w:pPr>
        <w:pStyle w:val="ImageCaption"/>
      </w:pPr>
      <w:r>
        <w:rPr>
          <w:i/>
        </w:rPr>
        <w:t>Figure</w:t>
      </w:r>
      <w:r>
        <w:t xml:space="preserve"> </w:t>
      </w:r>
      <w:r>
        <w:rPr>
          <w:i/>
        </w:rPr>
        <w:t>3</w:t>
      </w:r>
      <w:r>
        <w:t>.  Experiment structure. Three experimental parts will be delivered i</w:t>
      </w:r>
      <w:r>
        <w:t>n pseudorandomized order: a discrimination task with subjective confidence ratings, and two visual search tasks with different distractor/target assignments. Asymmetry effects will be tested for six stimulus features in six separate experiments.</w:t>
      </w:r>
    </w:p>
    <w:p w14:paraId="467D67C2" w14:textId="77777777" w:rsidR="009A62BA" w:rsidRDefault="00E926AA">
      <w:pPr>
        <w:pStyle w:val="BodyText"/>
      </w:pPr>
      <w:r>
        <w:t>We will test the following stimulus features in separate experiments with different participants:</w:t>
      </w:r>
    </w:p>
    <w:p w14:paraId="54025E35" w14:textId="77777777" w:rsidR="009A62BA" w:rsidRDefault="00E926AA">
      <w:pPr>
        <w:pStyle w:val="Compact"/>
        <w:numPr>
          <w:ilvl w:val="0"/>
          <w:numId w:val="19"/>
        </w:numPr>
      </w:pPr>
      <w:r>
        <w:rPr>
          <w:b/>
        </w:rPr>
        <w:t>Addition of a stimulus part</w:t>
      </w:r>
      <w:r>
        <w:t xml:space="preserve">. </w:t>
      </w:r>
      <w:r>
        <w:rPr>
          <w:i/>
        </w:rPr>
        <w:t>Q</w:t>
      </w:r>
      <w:r>
        <w:t xml:space="preserve"> and </w:t>
      </w:r>
      <w:r>
        <w:rPr>
          <w:i/>
        </w:rPr>
        <w:t>O</w:t>
      </w:r>
      <w:r>
        <w:t xml:space="preserve"> will be used as stimuli (Treisman &amp; Souther, 1985).</w:t>
      </w:r>
    </w:p>
    <w:p w14:paraId="79E50432" w14:textId="77777777" w:rsidR="009A62BA" w:rsidRDefault="00E926AA">
      <w:pPr>
        <w:pStyle w:val="Compact"/>
        <w:numPr>
          <w:ilvl w:val="0"/>
          <w:numId w:val="19"/>
        </w:numPr>
      </w:pPr>
      <w:r>
        <w:rPr>
          <w:b/>
        </w:rPr>
        <w:t>Open ends</w:t>
      </w:r>
      <w:r>
        <w:t xml:space="preserve">. </w:t>
      </w:r>
      <w:r>
        <w:rPr>
          <w:i/>
        </w:rPr>
        <w:t>C</w:t>
      </w:r>
      <w:r>
        <w:t xml:space="preserve"> and </w:t>
      </w:r>
      <w:r>
        <w:rPr>
          <w:i/>
        </w:rPr>
        <w:t>O</w:t>
      </w:r>
      <w:r>
        <w:t xml:space="preserve"> will be used as stimuli (Takeda &amp; Yagi, 2000; Trei</w:t>
      </w:r>
      <w:r>
        <w:t>sman &amp; Gormican, 1988; Treisman &amp; Souther, 1985).</w:t>
      </w:r>
    </w:p>
    <w:p w14:paraId="61DEF669" w14:textId="77777777" w:rsidR="009A62BA" w:rsidRDefault="00E926AA">
      <w:pPr>
        <w:pStyle w:val="Compact"/>
        <w:numPr>
          <w:ilvl w:val="0"/>
          <w:numId w:val="19"/>
        </w:numPr>
      </w:pPr>
      <w:r>
        <w:rPr>
          <w:b/>
        </w:rPr>
        <w:lastRenderedPageBreak/>
        <w:t>Color</w:t>
      </w:r>
      <w:r>
        <w:t>. Red RGB(255,0,0) and magenta RGB(255,0,100) dots will be used as stimuli (Treisman &amp; Gormican, 1988).</w:t>
      </w:r>
    </w:p>
    <w:p w14:paraId="41A00AE9" w14:textId="77777777" w:rsidR="009A62BA" w:rsidRDefault="00E926AA">
      <w:pPr>
        <w:pStyle w:val="Compact"/>
        <w:numPr>
          <w:ilvl w:val="0"/>
          <w:numId w:val="19"/>
        </w:numPr>
      </w:pPr>
      <w:r>
        <w:rPr>
          <w:b/>
        </w:rPr>
        <w:t>Curvature</w:t>
      </w:r>
      <w:r>
        <w:t>. Straight and curved lines will be used as stimuli (Treisman &amp; Gormican, 1988).</w:t>
      </w:r>
    </w:p>
    <w:p w14:paraId="33CF74A5" w14:textId="77777777" w:rsidR="009A62BA" w:rsidRDefault="00E926AA">
      <w:pPr>
        <w:pStyle w:val="Compact"/>
        <w:numPr>
          <w:ilvl w:val="0"/>
          <w:numId w:val="19"/>
        </w:numPr>
      </w:pPr>
      <w:r>
        <w:rPr>
          <w:b/>
        </w:rPr>
        <w:t>Orienta</w:t>
      </w:r>
      <w:r>
        <w:rPr>
          <w:b/>
        </w:rPr>
        <w:t>tion</w:t>
      </w:r>
      <w:r>
        <w:t>. Vertical and tilted lines will be used as stimuli (Treisman &amp; Gormican, 1988).</w:t>
      </w:r>
    </w:p>
    <w:p w14:paraId="38BABC47" w14:textId="77777777" w:rsidR="009A62BA" w:rsidRDefault="00E926AA">
      <w:pPr>
        <w:pStyle w:val="Compact"/>
        <w:numPr>
          <w:ilvl w:val="0"/>
          <w:numId w:val="19"/>
        </w:numPr>
      </w:pPr>
      <w:r>
        <w:rPr>
          <w:b/>
        </w:rPr>
        <w:t>Familiarity</w:t>
      </w:r>
      <w:r>
        <w:t xml:space="preserve">. Reversed and normal </w:t>
      </w:r>
      <w:r>
        <w:rPr>
          <w:i/>
        </w:rPr>
        <w:t>N</w:t>
      </w:r>
      <w:r>
        <w:t xml:space="preserve"> will be used as stimuli (Frith, 1974; Wang et al., 1994).</w:t>
      </w:r>
    </w:p>
    <w:p w14:paraId="6ED5BD91" w14:textId="77777777" w:rsidR="009A62BA" w:rsidRDefault="00E926AA">
      <w:pPr>
        <w:pStyle w:val="Heading3"/>
        <w:framePr w:wrap="around"/>
      </w:pPr>
      <w:bookmarkStart w:id="5" w:name="randomization"/>
      <w:r>
        <w:t>Randomization.</w:t>
      </w:r>
      <w:bookmarkEnd w:id="5"/>
    </w:p>
    <w:p w14:paraId="18D65259" w14:textId="77777777" w:rsidR="009A62BA" w:rsidRDefault="00E926AA">
      <w:pPr>
        <w:pStyle w:val="FirstParagraph"/>
      </w:pPr>
      <w:r>
        <w:t xml:space="preserve">The order and timing of experimental events will be determined </w:t>
      </w:r>
      <w:r>
        <w:t>pseudo-randomly by the Mersenne Twister pseudorandom number generator, initialized in a way that ensures registration time-locking (Mazor, Mazor, &amp; Mukamel, 2019).</w:t>
      </w:r>
    </w:p>
    <w:p w14:paraId="7121DEBF" w14:textId="77777777" w:rsidR="009A62BA" w:rsidRDefault="00E926AA">
      <w:pPr>
        <w:pStyle w:val="Heading2"/>
      </w:pPr>
      <w:bookmarkStart w:id="6" w:name="data-analysis"/>
      <w:r>
        <w:t>Data analysis</w:t>
      </w:r>
      <w:bookmarkEnd w:id="6"/>
    </w:p>
    <w:p w14:paraId="3B6B2AFD" w14:textId="77777777" w:rsidR="009A62BA" w:rsidRDefault="00E926AA">
      <w:pPr>
        <w:pStyle w:val="FirstParagraph"/>
      </w:pPr>
      <w:r>
        <w:t xml:space="preserve">We will use R (Version 3.6.0; R Core Team, 2019) and the R-packages </w:t>
      </w:r>
      <w:r>
        <w:rPr>
          <w:i/>
        </w:rPr>
        <w:t>BayesFacto</w:t>
      </w:r>
      <w:r>
        <w:rPr>
          <w:i/>
        </w:rPr>
        <w:t>r</w:t>
      </w:r>
      <w:r>
        <w:t xml:space="preserve"> (Version 0.9.12.4.2; Morey &amp; Rouder, 2018), </w:t>
      </w:r>
      <w:r>
        <w:rPr>
          <w:i/>
        </w:rPr>
        <w:t>brms</w:t>
      </w:r>
      <w:r>
        <w:t xml:space="preserve"> (Version 2.13.0; Bürkner, 2018), </w:t>
      </w:r>
      <w:r>
        <w:rPr>
          <w:i/>
        </w:rPr>
        <w:t>broom</w:t>
      </w:r>
      <w:r>
        <w:t xml:space="preserve"> (Version 0.5.6; Robinson &amp; Hayes, 2020), </w:t>
      </w:r>
      <w:r>
        <w:rPr>
          <w:i/>
        </w:rPr>
        <w:t>cowplot</w:t>
      </w:r>
      <w:r>
        <w:t xml:space="preserve"> (Version 1.0.0; Wilke, 2019), </w:t>
      </w:r>
      <w:r>
        <w:rPr>
          <w:i/>
        </w:rPr>
        <w:t>dplyr</w:t>
      </w:r>
      <w:r>
        <w:t xml:space="preserve"> (Version 1.0.0; Wickham et al., 2020), </w:t>
      </w:r>
      <w:r>
        <w:rPr>
          <w:i/>
        </w:rPr>
        <w:t>ggplot2</w:t>
      </w:r>
      <w:r>
        <w:t xml:space="preserve"> (Version 3.3.1; Wickham, 2016), </w:t>
      </w:r>
      <w:r>
        <w:rPr>
          <w:i/>
        </w:rPr>
        <w:t>pa</w:t>
      </w:r>
      <w:r>
        <w:rPr>
          <w:i/>
        </w:rPr>
        <w:t>paja</w:t>
      </w:r>
      <w:r>
        <w:t xml:space="preserve"> (Version 0.1.0.9942; Aust &amp; Barth, 2020), and </w:t>
      </w:r>
      <w:r>
        <w:rPr>
          <w:i/>
        </w:rPr>
        <w:t>tidyr</w:t>
      </w:r>
      <w:r>
        <w:t xml:space="preserve"> (Version 1.1.0; Wickham &amp; Henry, 2020) for all our analyses.</w:t>
      </w:r>
    </w:p>
    <w:p w14:paraId="195D1171" w14:textId="77777777" w:rsidR="009A62BA" w:rsidRDefault="00E926AA">
      <w:pPr>
        <w:pStyle w:val="Heading3"/>
        <w:framePr w:wrap="around"/>
      </w:pPr>
      <w:bookmarkStart w:id="7" w:name="rejection-criteria"/>
      <w:r>
        <w:t>Rejection criteria.</w:t>
      </w:r>
      <w:bookmarkEnd w:id="7"/>
    </w:p>
    <w:p w14:paraId="2272D440" w14:textId="77777777" w:rsidR="009A62BA" w:rsidRDefault="00E926AA">
      <w:pPr>
        <w:pStyle w:val="FirstParagraph"/>
      </w:pPr>
      <w:r>
        <w:t>Participants will be excluded for performing below 70% accuracy in one or two of the search tasks, for performing belo</w:t>
      </w:r>
      <w:r>
        <w:t>w 60% accuracy in the discrimination task, for having extremely fast or slow reaction times in one or more of the tasks (below 250 milliseconds or above 5 seconds in more than 25% of the trials), and for failing the comprehension check. For the response-co</w:t>
      </w:r>
      <w:r>
        <w:t xml:space="preserve">nditional ROC analysis, only participants that committed at least one error of each error type (for example, mistaking a </w:t>
      </w:r>
      <w:r>
        <w:rPr>
          <w:i/>
        </w:rPr>
        <w:t>Q</w:t>
      </w:r>
      <w:r>
        <w:t xml:space="preserve"> of </w:t>
      </w:r>
      <w:r>
        <w:rPr>
          <w:i/>
        </w:rPr>
        <w:t>O</w:t>
      </w:r>
      <w:r>
        <w:t xml:space="preserve"> and mistaking an </w:t>
      </w:r>
      <w:r>
        <w:rPr>
          <w:i/>
        </w:rPr>
        <w:t>O</w:t>
      </w:r>
      <w:r>
        <w:t xml:space="preserve"> for </w:t>
      </w:r>
      <w:r>
        <w:rPr>
          <w:i/>
        </w:rPr>
        <w:t>Q</w:t>
      </w:r>
      <w:r>
        <w:t>), will be included.</w:t>
      </w:r>
    </w:p>
    <w:p w14:paraId="2A455792" w14:textId="77777777" w:rsidR="009A62BA" w:rsidRDefault="00E926AA">
      <w:pPr>
        <w:pStyle w:val="BodyText"/>
      </w:pPr>
      <w:r>
        <w:t>Trials with response time below 250 milliseconds or above 5 seconds will be excluded.</w:t>
      </w:r>
    </w:p>
    <w:p w14:paraId="413D37FB" w14:textId="77777777" w:rsidR="009A62BA" w:rsidRDefault="00E926AA">
      <w:pPr>
        <w:pStyle w:val="BodyText"/>
      </w:pPr>
      <w:r>
        <w:lastRenderedPageBreak/>
        <w:t>Only correct visual search trials will be analyzed.</w:t>
      </w:r>
    </w:p>
    <w:p w14:paraId="64997E02" w14:textId="77777777" w:rsidR="009A62BA" w:rsidRDefault="00E926AA">
      <w:pPr>
        <w:pStyle w:val="Heading3"/>
        <w:framePr w:wrap="around"/>
      </w:pPr>
      <w:bookmarkStart w:id="8" w:name="dependent-variables-and-analysis-plan"/>
      <w:r>
        <w:t>Dependent variables and analysis plan.</w:t>
      </w:r>
      <w:bookmarkEnd w:id="8"/>
    </w:p>
    <w:p w14:paraId="6F840D28" w14:textId="77777777" w:rsidR="009A62BA" w:rsidRDefault="00E926AA">
      <w:pPr>
        <w:pStyle w:val="FirstParagraph"/>
      </w:pPr>
      <w:r>
        <w:t>The following measures will be extracted for each participant:</w:t>
      </w:r>
    </w:p>
    <w:p w14:paraId="37F9B017" w14:textId="77777777" w:rsidR="009A62BA" w:rsidRDefault="00E926AA">
      <w:pPr>
        <w:pStyle w:val="Compact"/>
        <w:numPr>
          <w:ilvl w:val="0"/>
          <w:numId w:val="20"/>
        </w:numPr>
      </w:pPr>
      <w:r>
        <w:t>The difference b</w:t>
      </w:r>
      <w:r>
        <w:t>etween the area under the response-conditional type-2 ROC curves for the two responses [e.g., ‘</w:t>
      </w:r>
      <w:r>
        <w:rPr>
          <w:i/>
        </w:rPr>
        <w:t>Q</w:t>
      </w:r>
      <w:r>
        <w:t>’ and ‘</w:t>
      </w:r>
      <w:r>
        <w:rPr>
          <w:i/>
        </w:rPr>
        <w:t>O</w:t>
      </w:r>
      <w:r>
        <w:t xml:space="preserve">’]: </w:t>
      </w:r>
      <m:oMath>
        <m:sSub>
          <m:sSubPr>
            <m:ctrlPr>
              <w:rPr>
                <w:rFonts w:ascii="Cambria Math" w:hAnsi="Cambria Math"/>
              </w:rPr>
            </m:ctrlPr>
          </m:sSubPr>
          <m:e>
            <m:r>
              <w:rPr>
                <w:rFonts w:ascii="Cambria Math" w:hAnsi="Cambria Math"/>
              </w:rPr>
              <m:t>Δ</m:t>
            </m:r>
          </m:e>
          <m:sub>
            <m:r>
              <w:rPr>
                <w:rFonts w:ascii="Cambria Math" w:hAnsi="Cambria Math"/>
              </w:rPr>
              <m:t>m</m:t>
            </m:r>
          </m:sub>
        </m:sSub>
      </m:oMath>
      <w:r>
        <w:t>.</w:t>
      </w:r>
    </w:p>
    <w:p w14:paraId="00E5463D" w14:textId="77777777" w:rsidR="009A62BA" w:rsidRDefault="00E926AA">
      <w:pPr>
        <w:pStyle w:val="FirstParagraph"/>
      </w:pPr>
      <w:r>
        <w:t>The area between the two curves is a measure of metacognitive asymmetry (Meuwese et al., 2014). This difference will be used to test Hypothesi</w:t>
      </w:r>
      <w:r>
        <w:t>s 1.</w:t>
      </w:r>
    </w:p>
    <w:p w14:paraId="76C44A81" w14:textId="77777777" w:rsidR="009A62BA" w:rsidRDefault="00E926AA">
      <w:pPr>
        <w:pStyle w:val="Compact"/>
        <w:numPr>
          <w:ilvl w:val="0"/>
          <w:numId w:val="21"/>
        </w:numPr>
      </w:pPr>
      <w:r>
        <w:t xml:space="preserve">The difference between search slopes for the two visual search tasks (defined as </w:t>
      </w: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in the linear regression model </w:t>
      </w:r>
      <m:oMath>
        <m:r>
          <w:rPr>
            <w:rFonts w:ascii="Cambria Math" w:hAnsi="Cambria Math"/>
          </w:rPr>
          <m:t>RT</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set</m:t>
        </m:r>
        <m:r>
          <w:rPr>
            <w:rFonts w:ascii="Cambria Math" w:hAnsi="Cambria Math"/>
          </w:rPr>
          <m:t>_</m:t>
        </m:r>
        <m:r>
          <w:rPr>
            <w:rFonts w:ascii="Cambria Math" w:hAnsi="Cambria Math"/>
          </w:rPr>
          <m:t>size</m:t>
        </m:r>
      </m:oMath>
      <w:r>
        <w:t xml:space="preserve">, collapsed across both ‘yes’ and ‘no’ responses): </w:t>
      </w:r>
      <m:oMath>
        <m:sSub>
          <m:sSubPr>
            <m:ctrlPr>
              <w:rPr>
                <w:rFonts w:ascii="Cambria Math" w:hAnsi="Cambria Math"/>
              </w:rPr>
            </m:ctrlPr>
          </m:sSubPr>
          <m:e>
            <m:r>
              <w:rPr>
                <w:rFonts w:ascii="Cambria Math" w:hAnsi="Cambria Math"/>
              </w:rPr>
              <m:t>Δ</m:t>
            </m:r>
          </m:e>
          <m:sub>
            <m:r>
              <w:rPr>
                <w:rFonts w:ascii="Cambria Math" w:hAnsi="Cambria Math"/>
              </w:rPr>
              <m:t>s</m:t>
            </m:r>
          </m:sub>
        </m:sSub>
      </m:oMath>
      <w:r>
        <w:t>.</w:t>
      </w:r>
    </w:p>
    <w:p w14:paraId="636B277B" w14:textId="77777777" w:rsidR="009A62BA" w:rsidRDefault="00E926AA">
      <w:pPr>
        <w:pStyle w:val="FirstParagraph"/>
      </w:pPr>
      <w:r>
        <w:t>The difference between the curves is a measure of s</w:t>
      </w:r>
      <w:r>
        <w:t>earch asymmetry. This difference will be used to test Hypothesis 1.</w:t>
      </w:r>
    </w:p>
    <w:p w14:paraId="20D67F5D" w14:textId="77777777" w:rsidR="009A62BA" w:rsidRDefault="00E926AA">
      <w:pPr>
        <w:pStyle w:val="Compact"/>
        <w:numPr>
          <w:ilvl w:val="0"/>
          <w:numId w:val="22"/>
        </w:numPr>
      </w:pPr>
      <w:r>
        <w:t>The relative difference between the area under the response-conditional type-2 ROC curves for the two responses (</w:t>
      </w:r>
      <m:oMath>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oMath>
      <w:r>
        <w:t xml:space="preserve">) will be defined as the area between the two curves, divided by </w:t>
      </w:r>
      <w:r>
        <w:t>the sum of the areas under the two curves.</w:t>
      </w:r>
    </w:p>
    <w:p w14:paraId="5FE0D8EB" w14:textId="77777777" w:rsidR="009A62BA" w:rsidRDefault="00E926AA">
      <w:pPr>
        <w:pStyle w:val="FirstParagraph"/>
      </w:pPr>
      <w:r>
        <w:t>This relative difference will be used to test Hypotheses 2 and 3.</w:t>
      </w:r>
    </w:p>
    <w:p w14:paraId="4FEE89CF" w14:textId="77777777" w:rsidR="009A62BA" w:rsidRDefault="00E926AA">
      <w:pPr>
        <w:pStyle w:val="Compact"/>
        <w:numPr>
          <w:ilvl w:val="0"/>
          <w:numId w:val="23"/>
        </w:numPr>
      </w:pPr>
      <w:r>
        <w:t>The relative difference between search slopes for the two visual search tasks (</w:t>
      </w:r>
      <m:oMath>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oMath>
      <w:r>
        <w:t>) will be defined as the difference between the two search</w:t>
      </w:r>
      <w:r>
        <w:t xml:space="preserve"> slopes, divided by their sum.</w:t>
      </w:r>
    </w:p>
    <w:p w14:paraId="0D29AD42" w14:textId="77777777" w:rsidR="009A62BA" w:rsidRDefault="00E926AA">
      <w:pPr>
        <w:pStyle w:val="FirstParagraph"/>
      </w:pPr>
      <w:r>
        <w:t>This relative difference will be used to test Hypotheses 2 and 3.</w:t>
      </w:r>
    </w:p>
    <w:p w14:paraId="12E87567" w14:textId="77777777" w:rsidR="009A62BA" w:rsidRDefault="00E926AA">
      <w:pPr>
        <w:pStyle w:val="Compact"/>
        <w:numPr>
          <w:ilvl w:val="0"/>
          <w:numId w:val="24"/>
        </w:numPr>
      </w:pPr>
      <w:r>
        <w:t>The sigma-ratio (</w:t>
      </w:r>
      <m:oMath>
        <m:sSub>
          <m:sSubPr>
            <m:ctrlPr>
              <w:rPr>
                <w:rFonts w:ascii="Cambria Math" w:hAnsi="Cambria Math"/>
              </w:rPr>
            </m:ctrlPr>
          </m:sSubPr>
          <m:e>
            <m:r>
              <w:rPr>
                <w:rFonts w:ascii="Cambria Math" w:hAnsi="Cambria Math"/>
              </w:rPr>
              <m:t>Q</m:t>
            </m:r>
          </m:e>
          <m:sub>
            <m:r>
              <w:rPr>
                <w:rFonts w:ascii="Cambria Math" w:hAnsi="Cambria Math"/>
              </w:rPr>
              <m:t>σ</m:t>
            </m:r>
          </m:sub>
        </m:sSub>
      </m:oMath>
      <w:r>
        <w:t>) will be defined as the ratio between the estimated variance associated with the feature-positive (or deviant) and feature-negative stimuli.</w:t>
      </w:r>
    </w:p>
    <w:p w14:paraId="7AEC9B46" w14:textId="77777777" w:rsidR="009A62BA" w:rsidRDefault="00E926AA">
      <w:pPr>
        <w:pStyle w:val="FirstParagraph"/>
      </w:pPr>
      <w:r>
        <w:t>The sigma-ratio will be estimated for each participant, in the following way. First, a zROC curve will be extracte</w:t>
      </w:r>
      <w:r>
        <w:t>d from the confidence and response data in the discrimination task. Then, a linear regression model with free slope and intercept parameters will be fit to the zROC curve, to estimate its slope. The slope of the zROC curve will be then taken as an estimate</w:t>
      </w:r>
      <w:r>
        <w:t xml:space="preserve"> of the relative variance associated with the two stimulus types (Wickens, 2002).</w:t>
      </w:r>
    </w:p>
    <w:p w14:paraId="620DC8BC" w14:textId="77777777" w:rsidR="009A62BA" w:rsidRDefault="00E926AA">
      <w:pPr>
        <w:pStyle w:val="BodyText"/>
      </w:pPr>
      <w:r>
        <w:lastRenderedPageBreak/>
        <w:t>For each of the six experiments, Hypothesis 1 (metacognitive asymmetry follows the same direction as search asymmetry) will be tested using a two tailed t-test at the group l</w:t>
      </w:r>
      <w:r>
        <w:t xml:space="preserve">evel with </w:t>
      </w:r>
      <m:oMath>
        <m:r>
          <w:rPr>
            <w:rFonts w:ascii="Cambria Math" w:hAnsi="Cambria Math"/>
          </w:rPr>
          <m:t>α</m:t>
        </m:r>
        <m:r>
          <w:rPr>
            <w:rFonts w:ascii="Cambria Math" w:hAnsi="Cambria Math"/>
          </w:rPr>
          <m:t>=0.05</m:t>
        </m:r>
      </m:oMath>
      <w:r>
        <w:t xml:space="preserve">. In case of a null result, a two one-sided test (TOST procedure; Schuirmann, 1987) will be adopted to test the null hypothesis that </w:t>
      </w:r>
      <m:oMath>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m</m:t>
            </m:r>
          </m:sub>
        </m:sSub>
        <m:r>
          <w:rPr>
            <w:rFonts w:ascii="Cambria Math" w:hAnsi="Cambria Math"/>
          </w:rPr>
          <m:t>|</m:t>
        </m:r>
      </m:oMath>
      <w:r>
        <w:t xml:space="preserve"> is higher than the smallest effect size of interest (0.05 in auROC units, ranging from 0 to 1), or </w:t>
      </w:r>
      <w:r>
        <w:t xml:space="preserve">that </w:t>
      </w:r>
      <m:oMath>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s</m:t>
            </m:r>
          </m:sub>
        </m:sSub>
        <m:r>
          <w:rPr>
            <w:rFonts w:ascii="Cambria Math" w:hAnsi="Cambria Math"/>
          </w:rPr>
          <m:t>|</m:t>
        </m:r>
      </m:oMath>
      <w:r>
        <w:t xml:space="preserve"> is higher than the smallest effect size of interest (1 millisecond/item).</w:t>
      </w:r>
    </w:p>
    <w:p w14:paraId="45DABB53" w14:textId="77777777" w:rsidR="009A62BA" w:rsidRDefault="00E926AA">
      <w:pPr>
        <w:pStyle w:val="BodyText"/>
      </w:pPr>
      <w:r>
        <w:t xml:space="preserve">Hypothesis 2 will be tested for each experiment by testing the correlation between </w:t>
      </w:r>
      <m:oMath>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oMath>
      <w:r>
        <w:t xml:space="preserve"> and </w:t>
      </w:r>
      <m:oMath>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oMath>
      <w:r>
        <w:t>, across participants. We will also test the correlation betwe</w:t>
      </w:r>
      <w:r>
        <w:t xml:space="preserve">en </w:t>
      </w:r>
      <m:oMath>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oMath>
      <w:r>
        <w:t xml:space="preserve"> and </w:t>
      </w:r>
      <m:oMath>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oMath>
      <w:r>
        <w:t xml:space="preserve"> pooled across participants from all 6 experiments, and controlling for experiment-specific intercept effects. In case of a null result, a two one-sided test (TOST procedure; Schuirmann, 1987) will be adopted to test the null hy</w:t>
      </w:r>
      <w:r>
        <w:t xml:space="preserve">pothesis that </w:t>
      </w:r>
      <m:oMath>
        <m:r>
          <w:rPr>
            <w:rFonts w:ascii="Cambria Math" w:hAnsi="Cambria Math"/>
          </w:rPr>
          <m:t>|</m:t>
        </m:r>
        <m:r>
          <w:rPr>
            <w:rFonts w:ascii="Cambria Math" w:hAnsi="Cambria Math"/>
          </w:rPr>
          <m:t>r</m:t>
        </m:r>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r>
          <w:rPr>
            <w:rFonts w:ascii="Cambria Math" w:hAnsi="Cambria Math"/>
          </w:rPr>
          <m:t>)|</m:t>
        </m:r>
      </m:oMath>
      <w:r>
        <w:t xml:space="preserve"> is higher than the smallest effect size of interest (0.05).</w:t>
      </w:r>
    </w:p>
    <w:p w14:paraId="73512F9F" w14:textId="77777777" w:rsidR="009A62BA" w:rsidRDefault="00E926AA">
      <w:pPr>
        <w:pStyle w:val="BodyText"/>
      </w:pPr>
      <w:r>
        <w:t xml:space="preserve">Conditioned on that we observe a significant result for Hypothesis 2, we will test Hypothesis 3 by comparing the correlation </w:t>
      </w:r>
      <m:oMath>
        <m:r>
          <w:rPr>
            <w:rFonts w:ascii="Cambria Math" w:hAnsi="Cambria Math"/>
          </w:rPr>
          <m:t>r</m:t>
        </m:r>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r>
          <w:rPr>
            <w:rFonts w:ascii="Cambria Math" w:hAnsi="Cambria Math"/>
          </w:rPr>
          <m:t>)</m:t>
        </m:r>
      </m:oMath>
      <w:r>
        <w:t xml:space="preserve"> and</w:t>
      </w:r>
      <w:r>
        <w:t xml:space="preserve"> the part-correlation after regressing out the contribution of the sigma ratio to the metacognitive asymmetry </w:t>
      </w:r>
      <m:oMath>
        <m:r>
          <w:rPr>
            <w:rFonts w:ascii="Cambria Math" w:hAnsi="Cambria Math"/>
          </w:rPr>
          <m:t>r</m:t>
        </m:r>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r>
          <w:rPr>
            <w:rFonts w:ascii="Cambria Math" w:hAnsi="Cambria Math"/>
          </w:rPr>
          <m:t>.</m:t>
        </m:r>
        <m: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σ</m:t>
            </m:r>
          </m:sub>
        </m:sSub>
        <m:r>
          <w:rPr>
            <w:rFonts w:ascii="Cambria Math" w:hAnsi="Cambria Math"/>
          </w:rPr>
          <m:t>)</m:t>
        </m:r>
      </m:oMath>
      <w:r>
        <w:t>. The comparison between the two correlations will be carried out using the Hotelling-Williams test for compa</w:t>
      </w:r>
      <w:r>
        <w:t xml:space="preserve">ring dependent correlations (Williams, 1959). In case of a null result, a two one-sided test (TOST procedure; Schuirmann, 1987) will be adopted to test the null hypothesis that </w:t>
      </w:r>
      <m:oMath>
        <m:r>
          <w:rPr>
            <w:rFonts w:ascii="Cambria Math" w:hAnsi="Cambria Math"/>
          </w:rPr>
          <m:t>|</m:t>
        </m:r>
        <m:r>
          <w:rPr>
            <w:rFonts w:ascii="Cambria Math" w:hAnsi="Cambria Math"/>
          </w:rPr>
          <m:t>r</m:t>
        </m:r>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r>
          <w:rPr>
            <w:rFonts w:ascii="Cambria Math" w:hAnsi="Cambria Math"/>
          </w:rPr>
          <m:t>)-</m:t>
        </m:r>
        <m:r>
          <w:rPr>
            <w:rFonts w:ascii="Cambria Math" w:hAnsi="Cambria Math"/>
          </w:rPr>
          <m:t>r</m:t>
        </m:r>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r>
          <w:rPr>
            <w:rFonts w:ascii="Cambria Math" w:hAnsi="Cambria Math"/>
          </w:rPr>
          <m:t>.</m:t>
        </m:r>
        <m: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σ</m:t>
            </m:r>
          </m:sub>
        </m:sSub>
        <m:r>
          <w:rPr>
            <w:rFonts w:ascii="Cambria Math" w:hAnsi="Cambria Math"/>
          </w:rPr>
          <m:t>)|</m:t>
        </m:r>
      </m:oMath>
      <w:r>
        <w:t xml:space="preserve"> is higher tha</w:t>
      </w:r>
      <w:r>
        <w:t>n the smallest effect size of interest (0.05).</w:t>
      </w:r>
    </w:p>
    <w:p w14:paraId="0C9CEA1D" w14:textId="77777777" w:rsidR="009A62BA" w:rsidRDefault="00E926AA">
      <w:pPr>
        <w:pStyle w:val="Heading3"/>
        <w:framePr w:wrap="around"/>
      </w:pPr>
      <w:bookmarkStart w:id="9" w:name="statistical-power"/>
      <w:r>
        <w:t>Statistical power.</w:t>
      </w:r>
      <w:bookmarkEnd w:id="9"/>
    </w:p>
    <w:p w14:paraId="7ACE1E0B" w14:textId="77777777" w:rsidR="009A62BA" w:rsidRDefault="00E926AA">
      <w:pPr>
        <w:numPr>
          <w:ilvl w:val="0"/>
          <w:numId w:val="25"/>
        </w:numPr>
      </w:pPr>
      <w:r>
        <w:t xml:space="preserve">Hypothesis 1: With 320 participants, we will have a statistical </w:t>
      </w:r>
      <w:r>
        <w:lastRenderedPageBreak/>
        <w:t>power of 95% to detect effects of size 0.20, which is less than half the effect size we observed for metacognitive asymmetry a</w:t>
      </w:r>
      <w:r>
        <w:t>nd less than fifth the effect size we observed for search slopes in our pilot sample.</w:t>
      </w:r>
    </w:p>
    <w:p w14:paraId="50637F16" w14:textId="77777777" w:rsidR="009A62BA" w:rsidRDefault="00E926AA">
      <w:pPr>
        <w:numPr>
          <w:ilvl w:val="0"/>
          <w:numId w:val="25"/>
        </w:numPr>
      </w:pPr>
      <w:r>
        <w:t>Hypothesis 2: For each stimulus pair, will have a statistical power of 95% to detect a correlation of 0.20 between search and metacognitive asymmetries. Across all six st</w:t>
      </w:r>
      <w:r>
        <w:t>imulus pairs, we will have a statistical power of 95% to detect a correlation of 0.08.</w:t>
      </w:r>
    </w:p>
    <w:p w14:paraId="140F48D6" w14:textId="77777777" w:rsidR="009A62BA" w:rsidRDefault="00E926AA">
      <w:pPr>
        <w:numPr>
          <w:ilvl w:val="0"/>
          <w:numId w:val="25"/>
        </w:numPr>
      </w:pPr>
      <w:r>
        <w:t>Hypothesis 3: Using Monte-Carlo simulations, we estimate a statistical power of 0.97 to test Hypothesis 3 at the single-experiment level, assuming a modest correlation o</w:t>
      </w:r>
      <w:r>
        <w:t xml:space="preserve">f 0.2 between </w:t>
      </w:r>
      <m:oMath>
        <m:sSub>
          <m:sSubPr>
            <m:ctrlPr>
              <w:rPr>
                <w:rFonts w:ascii="Cambria Math" w:hAnsi="Cambria Math"/>
              </w:rPr>
            </m:ctrlPr>
          </m:sSubPr>
          <m:e>
            <m:r>
              <w:rPr>
                <w:rFonts w:ascii="Cambria Math" w:hAnsi="Cambria Math"/>
              </w:rPr>
              <m:t>Q</m:t>
            </m:r>
          </m:e>
          <m:sub>
            <m:r>
              <w:rPr>
                <w:rFonts w:ascii="Cambria Math" w:hAnsi="Cambria Math"/>
              </w:rPr>
              <m:t>σ</m:t>
            </m:r>
          </m:sub>
        </m:sSub>
      </m:oMath>
      <w:r>
        <w:t xml:space="preserve"> and </w:t>
      </w:r>
      <m:oMath>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oMath>
      <w:r>
        <w:t xml:space="preserve">, and assuming that the correlation between </w:t>
      </w:r>
      <m:oMath>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oMath>
      <w:r>
        <w:t xml:space="preserve"> and </w:t>
      </w:r>
      <m:oMath>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oMath>
      <w:r>
        <w:t xml:space="preserve"> is completely mediated by </w:t>
      </w:r>
      <m:oMath>
        <m:sSub>
          <m:sSubPr>
            <m:ctrlPr>
              <w:rPr>
                <w:rFonts w:ascii="Cambria Math" w:hAnsi="Cambria Math"/>
              </w:rPr>
            </m:ctrlPr>
          </m:sSubPr>
          <m:e>
            <m:r>
              <w:rPr>
                <w:rFonts w:ascii="Cambria Math" w:hAnsi="Cambria Math"/>
              </w:rPr>
              <m:t>Q</m:t>
            </m:r>
          </m:e>
          <m:sub>
            <m:r>
              <w:rPr>
                <w:rFonts w:ascii="Cambria Math" w:hAnsi="Cambria Math"/>
              </w:rPr>
              <m:t>σ</m:t>
            </m:r>
          </m:sub>
        </m:sSub>
      </m:oMath>
      <w:r>
        <w:t>.</w:t>
      </w:r>
    </w:p>
    <w:p w14:paraId="2969E50D" w14:textId="77777777" w:rsidR="009A62BA" w:rsidRDefault="00E926AA">
      <w:pPr>
        <w:pStyle w:val="Heading2"/>
      </w:pPr>
      <w:bookmarkStart w:id="10" w:name="data-availability"/>
      <w:r>
        <w:t>Data availability</w:t>
      </w:r>
      <w:bookmarkEnd w:id="10"/>
    </w:p>
    <w:p w14:paraId="5E84FD1C" w14:textId="77777777" w:rsidR="009A62BA" w:rsidRDefault="00E926AA">
      <w:pPr>
        <w:pStyle w:val="FirstParagraph"/>
      </w:pPr>
      <w:r>
        <w:t xml:space="preserve">All raw data will be made fully available on OSF and on the study’s GitHub respository: </w:t>
      </w:r>
      <w:hyperlink r:id="rId12">
        <w:r>
          <w:rPr>
            <w:rStyle w:val="Hyperlink"/>
          </w:rPr>
          <w:t>https://github.com/matanmazor/asymmetry</w:t>
        </w:r>
      </w:hyperlink>
      <w:r>
        <w:t xml:space="preserve">. Pilot data is available at: </w:t>
      </w:r>
      <w:hyperlink r:id="rId13">
        <w:r>
          <w:rPr>
            <w:rStyle w:val="Hyperlink"/>
          </w:rPr>
          <w:t>h</w:t>
        </w:r>
        <w:r>
          <w:rPr>
            <w:rStyle w:val="Hyperlink"/>
          </w:rPr>
          <w:t>ttps://github.com/matanmazor/asymmetry/blob/master/Experiments/Q_in_O/results/pilot/jatos_results_batch3.csv</w:t>
        </w:r>
      </w:hyperlink>
    </w:p>
    <w:p w14:paraId="2EEF0FC3" w14:textId="77777777" w:rsidR="009A62BA" w:rsidRDefault="00E926AA">
      <w:pPr>
        <w:pStyle w:val="Heading2"/>
      </w:pPr>
      <w:bookmarkStart w:id="11" w:name="code-availability"/>
      <w:r>
        <w:t>Code availability</w:t>
      </w:r>
      <w:bookmarkEnd w:id="11"/>
    </w:p>
    <w:p w14:paraId="243C7798" w14:textId="77777777" w:rsidR="009A62BA" w:rsidRDefault="00E926AA">
      <w:pPr>
        <w:pStyle w:val="FirstParagraph"/>
      </w:pPr>
      <w:r>
        <w:t xml:space="preserve">All analysis code will be openly shared on the study’s GitHub repository: </w:t>
      </w:r>
      <w:hyperlink r:id="rId14">
        <w:r>
          <w:rPr>
            <w:rStyle w:val="Hyperlink"/>
          </w:rPr>
          <w:t>https://github.com/matanmazor/asymmetry</w:t>
        </w:r>
      </w:hyperlink>
      <w:r>
        <w:t>. For complete reproducibility, the RMarkdown file used to generate the final version of the manuscript, including the generation of all figures and extraction of all test statistics, will be available on our GitH</w:t>
      </w:r>
      <w:r>
        <w:t>ub repository.</w:t>
      </w:r>
    </w:p>
    <w:p w14:paraId="3EC4CE32" w14:textId="77777777" w:rsidR="009A62BA" w:rsidRDefault="00E926AA">
      <w:pPr>
        <w:pStyle w:val="Heading2"/>
      </w:pPr>
      <w:bookmarkStart w:id="12" w:name="acknowledgements"/>
      <w:r>
        <w:lastRenderedPageBreak/>
        <w:t>Acknowledgements</w:t>
      </w:r>
      <w:bookmarkEnd w:id="12"/>
    </w:p>
    <w:p w14:paraId="1F27350C" w14:textId="77777777" w:rsidR="009A62BA" w:rsidRDefault="00E926AA">
      <w:pPr>
        <w:pStyle w:val="Heading2"/>
      </w:pPr>
      <w:bookmarkStart w:id="13" w:name="author-contributions"/>
      <w:r>
        <w:t>Author contributions</w:t>
      </w:r>
      <w:bookmarkEnd w:id="13"/>
    </w:p>
    <w:p w14:paraId="3E2AE1E1" w14:textId="77777777" w:rsidR="009A62BA" w:rsidRDefault="00E926AA">
      <w:pPr>
        <w:pStyle w:val="Heading2"/>
      </w:pPr>
      <w:bookmarkStart w:id="14" w:name="competing-interests"/>
      <w:r>
        <w:t>Competing interests</w:t>
      </w:r>
      <w:bookmarkEnd w:id="14"/>
    </w:p>
    <w:p w14:paraId="0E284A62" w14:textId="77777777" w:rsidR="009A62BA" w:rsidRDefault="00E926AA">
      <w:pPr>
        <w:pStyle w:val="FirstParagraph"/>
      </w:pPr>
      <w:r>
        <w:t>The authors declare no competing interests.</w:t>
      </w:r>
    </w:p>
    <w:p w14:paraId="3ABA5CAE" w14:textId="77777777" w:rsidR="009A62BA" w:rsidRDefault="00E926AA">
      <w:pPr>
        <w:pStyle w:val="Heading2"/>
      </w:pPr>
      <w:bookmarkStart w:id="15" w:name="table-1-design-table"/>
      <w:r>
        <w:t>Table 1: Design Table</w:t>
      </w:r>
      <w:bookmarkEnd w:id="15"/>
    </w:p>
    <w:tbl>
      <w:tblPr>
        <w:tblStyle w:val="Table"/>
        <w:tblW w:w="5000" w:type="pct"/>
        <w:tblLook w:val="07E0" w:firstRow="1" w:lastRow="1" w:firstColumn="1" w:lastColumn="1" w:noHBand="1" w:noVBand="1"/>
      </w:tblPr>
      <w:tblGrid>
        <w:gridCol w:w="1674"/>
        <w:gridCol w:w="1804"/>
        <w:gridCol w:w="1971"/>
        <w:gridCol w:w="2040"/>
        <w:gridCol w:w="2133"/>
      </w:tblGrid>
      <w:tr w:rsidR="009A62BA" w14:paraId="06163799" w14:textId="77777777" w:rsidTr="009A62BA">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0" w:space="0" w:color="auto"/>
            </w:tcBorders>
            <w:vAlign w:val="bottom"/>
          </w:tcPr>
          <w:p w14:paraId="1A825934" w14:textId="77777777" w:rsidR="009A62BA" w:rsidRDefault="00E926AA">
            <w:pPr>
              <w:pStyle w:val="Compact"/>
            </w:pPr>
            <w:r>
              <w:t>Question</w:t>
            </w:r>
          </w:p>
        </w:tc>
        <w:tc>
          <w:tcPr>
            <w:tcW w:w="0" w:type="auto"/>
            <w:tcBorders>
              <w:bottom w:val="single" w:sz="0" w:space="0" w:color="auto"/>
            </w:tcBorders>
            <w:vAlign w:val="bottom"/>
          </w:tcPr>
          <w:p w14:paraId="15A4D924" w14:textId="77777777" w:rsidR="009A62BA" w:rsidRDefault="00E926AA">
            <w:pPr>
              <w:pStyle w:val="Compact"/>
            </w:pPr>
            <w:r>
              <w:t>Hypothesis</w:t>
            </w:r>
          </w:p>
        </w:tc>
        <w:tc>
          <w:tcPr>
            <w:tcW w:w="0" w:type="auto"/>
            <w:tcBorders>
              <w:bottom w:val="single" w:sz="0" w:space="0" w:color="auto"/>
            </w:tcBorders>
            <w:vAlign w:val="bottom"/>
          </w:tcPr>
          <w:p w14:paraId="702AE4DC" w14:textId="77777777" w:rsidR="009A62BA" w:rsidRDefault="00E926AA">
            <w:pPr>
              <w:pStyle w:val="Compact"/>
            </w:pPr>
            <w:r>
              <w:t>Sampling Plan</w:t>
            </w:r>
          </w:p>
        </w:tc>
        <w:tc>
          <w:tcPr>
            <w:tcW w:w="0" w:type="auto"/>
            <w:tcBorders>
              <w:bottom w:val="single" w:sz="0" w:space="0" w:color="auto"/>
            </w:tcBorders>
            <w:vAlign w:val="bottom"/>
          </w:tcPr>
          <w:p w14:paraId="389AC143" w14:textId="77777777" w:rsidR="009A62BA" w:rsidRDefault="00E926AA">
            <w:pPr>
              <w:pStyle w:val="Compact"/>
            </w:pPr>
            <w:r>
              <w:t>Analysis Plan</w:t>
            </w:r>
          </w:p>
        </w:tc>
        <w:tc>
          <w:tcPr>
            <w:tcW w:w="0" w:type="auto"/>
            <w:tcBorders>
              <w:bottom w:val="single" w:sz="0" w:space="0" w:color="auto"/>
            </w:tcBorders>
            <w:vAlign w:val="bottom"/>
          </w:tcPr>
          <w:p w14:paraId="23F4EC33" w14:textId="77777777" w:rsidR="009A62BA" w:rsidRDefault="00E926AA">
            <w:pPr>
              <w:pStyle w:val="Compact"/>
            </w:pPr>
            <w:r>
              <w:t>Interpretation given to different outcomes</w:t>
            </w:r>
          </w:p>
        </w:tc>
      </w:tr>
      <w:tr w:rsidR="009A62BA" w14:paraId="3287BF9A" w14:textId="77777777">
        <w:tc>
          <w:tcPr>
            <w:tcW w:w="0" w:type="auto"/>
          </w:tcPr>
          <w:p w14:paraId="1D5F9E9C" w14:textId="77777777" w:rsidR="009A62BA" w:rsidRDefault="00E926AA">
            <w:pPr>
              <w:pStyle w:val="Compact"/>
            </w:pPr>
            <w:r>
              <w:t>Does metacognitive asymmetry extend to sub-stimulus features?</w:t>
            </w:r>
          </w:p>
        </w:tc>
        <w:tc>
          <w:tcPr>
            <w:tcW w:w="0" w:type="auto"/>
          </w:tcPr>
          <w:p w14:paraId="785478B9" w14:textId="77777777" w:rsidR="009A62BA" w:rsidRDefault="00E926AA">
            <w:pPr>
              <w:pStyle w:val="Compact"/>
            </w:pPr>
            <w:r>
              <w:t>Metacognitive asymmetry, measured as the area between the two response conditional ROC curves, follows the same direction as search asymmetry.</w:t>
            </w:r>
          </w:p>
        </w:tc>
        <w:tc>
          <w:tcPr>
            <w:tcW w:w="0" w:type="auto"/>
          </w:tcPr>
          <w:p w14:paraId="5BA837EF" w14:textId="77777777" w:rsidR="009A62BA" w:rsidRDefault="00E926AA">
            <w:pPr>
              <w:pStyle w:val="Compact"/>
            </w:pPr>
            <w:r>
              <w:t xml:space="preserve">320 included participants in each experiment </w:t>
            </w:r>
            <m:oMath>
              <m:r>
                <w:rPr>
                  <w:rFonts w:ascii="Cambria Math" w:hAnsi="Cambria Math"/>
                </w:rPr>
                <m:t>×</m:t>
              </m:r>
            </m:oMath>
            <w:r>
              <w:t xml:space="preserve"> 6 ex</w:t>
            </w:r>
            <w:r>
              <w:t>periments. We will have 95% power to detect an effect size of 0.2.</w:t>
            </w:r>
          </w:p>
        </w:tc>
        <w:tc>
          <w:tcPr>
            <w:tcW w:w="0" w:type="auto"/>
          </w:tcPr>
          <w:p w14:paraId="5F76A6DC" w14:textId="77777777" w:rsidR="009A62BA" w:rsidRDefault="00E926AA">
            <w:pPr>
              <w:pStyle w:val="Compact"/>
            </w:pPr>
            <w:r>
              <w:t xml:space="preserve">T test on </w:t>
            </w:r>
            <m:oMath>
              <m:sSub>
                <m:sSubPr>
                  <m:ctrlPr>
                    <w:rPr>
                      <w:rFonts w:ascii="Cambria Math" w:hAnsi="Cambria Math"/>
                    </w:rPr>
                  </m:ctrlPr>
                </m:sSubPr>
                <m:e>
                  <m:r>
                    <w:rPr>
                      <w:rFonts w:ascii="Cambria Math" w:hAnsi="Cambria Math"/>
                    </w:rPr>
                    <m:t>Δ</m:t>
                  </m:r>
                </m:e>
                <m:sub>
                  <m:r>
                    <w:rPr>
                      <w:rFonts w:ascii="Cambria Math" w:hAnsi="Cambria Math"/>
                    </w:rPr>
                    <m:t>m</m:t>
                  </m:r>
                </m:sub>
              </m:sSub>
            </m:oMath>
            <w:r>
              <w:t xml:space="preserve"> against 0. IF p&gt;0.05, TOST procedure with SESOI=0.05.</w:t>
            </w:r>
          </w:p>
        </w:tc>
        <w:tc>
          <w:tcPr>
            <w:tcW w:w="0" w:type="auto"/>
          </w:tcPr>
          <w:p w14:paraId="65EC3A5C" w14:textId="77777777" w:rsidR="009A62BA" w:rsidRDefault="00E926AA">
            <w:pPr>
              <w:pStyle w:val="Compact"/>
            </w:pPr>
            <w:r>
              <w:t>For each experiment separately, a significant result in the expected direction would be interpreted as metacognitive asy</w:t>
            </w:r>
            <w:r>
              <w:t>mmetry for the specific stimulus feature. Across all experiments, a series of significant results in the expected direction would be interpreted as supporting a common underlying mechanism for search and metacognitive asymmetries. A significant TOST result</w:t>
            </w:r>
            <w:r>
              <w:t xml:space="preserve"> would be interpreted as indicating indistinguishable metacognitive </w:t>
            </w:r>
            <w:r>
              <w:lastRenderedPageBreak/>
              <w:t>sensitivity for the two stimulsu types.</w:t>
            </w:r>
          </w:p>
        </w:tc>
      </w:tr>
      <w:tr w:rsidR="009A62BA" w14:paraId="4758C11A" w14:textId="77777777">
        <w:tc>
          <w:tcPr>
            <w:tcW w:w="0" w:type="auto"/>
          </w:tcPr>
          <w:p w14:paraId="1CCE4B2B" w14:textId="77777777" w:rsidR="009A62BA" w:rsidRDefault="00E926AA">
            <w:pPr>
              <w:pStyle w:val="Compact"/>
            </w:pPr>
            <w:r>
              <w:lastRenderedPageBreak/>
              <w:t>Is there a common source to metacognitive and search asymmetries?</w:t>
            </w:r>
          </w:p>
        </w:tc>
        <w:tc>
          <w:tcPr>
            <w:tcW w:w="0" w:type="auto"/>
          </w:tcPr>
          <w:p w14:paraId="31266A64" w14:textId="77777777" w:rsidR="009A62BA" w:rsidRDefault="00E926AA">
            <w:pPr>
              <w:pStyle w:val="Compact"/>
            </w:pPr>
            <w:r>
              <w:t>Individual differences in the direction and magnitude of search asymmetry positiv</w:t>
            </w:r>
            <w:r>
              <w:t>ely covary with individual differences in the direction and magnitude of metacognitive asymmetry.</w:t>
            </w:r>
          </w:p>
        </w:tc>
        <w:tc>
          <w:tcPr>
            <w:tcW w:w="0" w:type="auto"/>
          </w:tcPr>
          <w:p w14:paraId="29CC59E4" w14:textId="77777777" w:rsidR="009A62BA" w:rsidRDefault="00E926AA">
            <w:pPr>
              <w:pStyle w:val="Compact"/>
            </w:pPr>
            <w:r>
              <w:t xml:space="preserve">320 included participants in each experiment </w:t>
            </w:r>
            <m:oMath>
              <m:r>
                <w:rPr>
                  <w:rFonts w:ascii="Cambria Math" w:hAnsi="Cambria Math"/>
                </w:rPr>
                <m:t>×</m:t>
              </m:r>
            </m:oMath>
            <w:r>
              <w:t xml:space="preserve"> 6 experiments. We will have 95% power to detect a correlation of 0.2 at the single experiment level, and a corr</w:t>
            </w:r>
            <w:r>
              <w:t>elation of 0.08 pooled across all six experiments.</w:t>
            </w:r>
          </w:p>
        </w:tc>
        <w:tc>
          <w:tcPr>
            <w:tcW w:w="0" w:type="auto"/>
          </w:tcPr>
          <w:p w14:paraId="1FA15852" w14:textId="77777777" w:rsidR="009A62BA" w:rsidRDefault="00E926AA">
            <w:pPr>
              <w:pStyle w:val="Compact"/>
            </w:pPr>
            <w:r>
              <w:t xml:space="preserve">Pearson correlation between </w:t>
            </w:r>
            <m:oMath>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oMath>
            <w:r>
              <w:t xml:space="preserve"> and </w:t>
            </w:r>
            <m:oMath>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oMath>
            <w:r>
              <w:t xml:space="preserve"> at the single experiment level, and pooled across all six experiments after regressing out the effect of experiment on both measures. IF p&gt;0.05, a TOST</w:t>
            </w:r>
            <w:r>
              <w:t xml:space="preserve"> procedure with SESOI=0.05.</w:t>
            </w:r>
          </w:p>
        </w:tc>
        <w:tc>
          <w:tcPr>
            <w:tcW w:w="0" w:type="auto"/>
          </w:tcPr>
          <w:p w14:paraId="0BC60920" w14:textId="77777777" w:rsidR="009A62BA" w:rsidRDefault="00E926AA">
            <w:pPr>
              <w:pStyle w:val="Compact"/>
            </w:pPr>
            <w:r>
              <w:t>For each experiment separately, a significant correlation would be interpreted as a common cause for the two asymmetries for the particular stimulus pair. Pooled across all six experiments, a significant correlation would be int</w:t>
            </w:r>
            <w:r>
              <w:t>erpreted as reflecting a common cause for search and metacognitive asymmetries generally. A significant TOST result would be interpreted as evidence against a common mechanism underlying the two asymmetries.</w:t>
            </w:r>
          </w:p>
        </w:tc>
      </w:tr>
      <w:tr w:rsidR="009A62BA" w14:paraId="2117489C" w14:textId="77777777">
        <w:trPr>
          <w:cnfStyle w:val="010000000000" w:firstRow="0" w:lastRow="1" w:firstColumn="0" w:lastColumn="0" w:oddVBand="0" w:evenVBand="0" w:oddHBand="0" w:evenHBand="0" w:firstRowFirstColumn="0" w:firstRowLastColumn="0" w:lastRowFirstColumn="0" w:lastRowLastColumn="0"/>
        </w:trPr>
        <w:tc>
          <w:tcPr>
            <w:tcW w:w="0" w:type="auto"/>
          </w:tcPr>
          <w:p w14:paraId="32F4F04B" w14:textId="77777777" w:rsidR="009A62BA" w:rsidRDefault="00E926AA">
            <w:pPr>
              <w:pStyle w:val="Compact"/>
            </w:pPr>
            <w:r>
              <w:t>Metacognitive and search asymmetries reflect un</w:t>
            </w:r>
            <w:r>
              <w:t>equal variance for selected stimulus features.</w:t>
            </w:r>
          </w:p>
        </w:tc>
        <w:tc>
          <w:tcPr>
            <w:tcW w:w="0" w:type="auto"/>
          </w:tcPr>
          <w:p w14:paraId="79B32BA8" w14:textId="77777777" w:rsidR="009A62BA" w:rsidRDefault="00E926AA">
            <w:pPr>
              <w:pStyle w:val="Compact"/>
            </w:pPr>
            <w:r>
              <w:t>The positive association between search- and metacongitive- asymmetries is mediated by the sigma-ratio, extracted from confidence ratings in the discrimination task.</w:t>
            </w:r>
          </w:p>
        </w:tc>
        <w:tc>
          <w:tcPr>
            <w:tcW w:w="0" w:type="auto"/>
          </w:tcPr>
          <w:p w14:paraId="699ED7FF" w14:textId="77777777" w:rsidR="009A62BA" w:rsidRDefault="00E926AA">
            <w:pPr>
              <w:pStyle w:val="Compact"/>
            </w:pPr>
            <w:r>
              <w:t>320 included participants in each experimen</w:t>
            </w:r>
            <w:r>
              <w:t xml:space="preserve">t </w:t>
            </w:r>
            <m:oMath>
              <m:r>
                <w:rPr>
                  <w:rFonts w:ascii="Cambria Math" w:hAnsi="Cambria Math"/>
                </w:rPr>
                <m:t>×</m:t>
              </m:r>
            </m:oMath>
            <w:r>
              <w:t xml:space="preserve"> 6 experiments. We will have 97% power to reject the null hypothesis for a specific experiment if the </w:t>
            </w:r>
            <m:oMath>
              <m:r>
                <w:rPr>
                  <w:rFonts w:ascii="Cambria Math" w:hAnsi="Cambria Math"/>
                </w:rPr>
                <m:t>r</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σ</m:t>
                  </m:r>
                </m:sub>
              </m:sSub>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r>
                <w:rPr>
                  <w:rFonts w:ascii="Cambria Math" w:hAnsi="Cambria Math"/>
                </w:rPr>
                <m:t>)</m:t>
              </m:r>
            </m:oMath>
            <w:r>
              <w:t>=0.2.</w:t>
            </w:r>
          </w:p>
        </w:tc>
        <w:tc>
          <w:tcPr>
            <w:tcW w:w="0" w:type="auto"/>
          </w:tcPr>
          <w:p w14:paraId="0DD1372B" w14:textId="77777777" w:rsidR="009A62BA" w:rsidRDefault="00E926AA">
            <w:pPr>
              <w:pStyle w:val="Compact"/>
            </w:pPr>
            <w:r>
              <w:t xml:space="preserve">Contingent on a significant result for Hypothesis 2: Hotelling-Williams test for dependent correlations between </w:t>
            </w:r>
            <m:oMath>
              <m:r>
                <w:rPr>
                  <w:rFonts w:ascii="Cambria Math" w:hAnsi="Cambria Math"/>
                </w:rPr>
                <m:t>r</m:t>
              </m:r>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r>
                <w:rPr>
                  <w:rFonts w:ascii="Cambria Math" w:hAnsi="Cambria Math"/>
                </w:rPr>
                <m:t>)</m:t>
              </m:r>
            </m:oMath>
            <w:r>
              <w:t xml:space="preserve"> and </w:t>
            </w:r>
            <m:oMath>
              <m:r>
                <w:rPr>
                  <w:rFonts w:ascii="Cambria Math" w:hAnsi="Cambria Math"/>
                </w:rPr>
                <m:t>r</m:t>
              </m:r>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s</m:t>
                  </m:r>
                </m:sub>
                <m:sup>
                  <m:r>
                    <w:rPr>
                      <w:rFonts w:ascii="Cambria Math" w:hAnsi="Cambria Math"/>
                    </w:rPr>
                    <m:t>rel</m:t>
                  </m:r>
                </m:sup>
              </m:sSubSup>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m</m:t>
                  </m:r>
                </m:sub>
                <m:sup>
                  <m:r>
                    <w:rPr>
                      <w:rFonts w:ascii="Cambria Math" w:hAnsi="Cambria Math"/>
                    </w:rPr>
                    <m:t>rel</m:t>
                  </m:r>
                </m:sup>
              </m:sSubSup>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σ</m:t>
                  </m:r>
                </m:sub>
              </m:sSub>
              <m:r>
                <w:rPr>
                  <w:rFonts w:ascii="Cambria Math" w:hAnsi="Cambria Math"/>
                </w:rPr>
                <m:t>)</m:t>
              </m:r>
            </m:oMath>
            <w:r>
              <w:t>.</w:t>
            </w:r>
          </w:p>
        </w:tc>
        <w:tc>
          <w:tcPr>
            <w:tcW w:w="0" w:type="auto"/>
          </w:tcPr>
          <w:p w14:paraId="2E3E24D2" w14:textId="77777777" w:rsidR="009A62BA" w:rsidRDefault="00E926AA">
            <w:pPr>
              <w:pStyle w:val="Compact"/>
            </w:pPr>
            <w:r>
              <w:t xml:space="preserve">For each experiment separately, a significant difference between the full and part correlations would be interpreted as evidence for the unequal-variance account for search- and metacognitive- asymmetries. A significant TOST </w:t>
            </w:r>
            <w:r>
              <w:lastRenderedPageBreak/>
              <w:t xml:space="preserve">result would be interpreted as </w:t>
            </w:r>
            <w:r>
              <w:t>supporting an alternative mechanism.</w:t>
            </w:r>
          </w:p>
        </w:tc>
      </w:tr>
    </w:tbl>
    <w:p w14:paraId="1549449E" w14:textId="77777777" w:rsidR="009A62BA" w:rsidRDefault="00E926AA">
      <w:r>
        <w:lastRenderedPageBreak/>
        <w:br w:type="page"/>
      </w:r>
    </w:p>
    <w:p w14:paraId="36DA20DD" w14:textId="77777777" w:rsidR="009A62BA" w:rsidRDefault="00E926AA">
      <w:pPr>
        <w:pStyle w:val="Heading1"/>
      </w:pPr>
      <w:bookmarkStart w:id="16" w:name="references"/>
      <w:r>
        <w:lastRenderedPageBreak/>
        <w:t>References</w:t>
      </w:r>
      <w:bookmarkEnd w:id="16"/>
    </w:p>
    <w:p w14:paraId="692B925A" w14:textId="77777777" w:rsidR="009A62BA" w:rsidRDefault="00E926AA">
      <w:pPr>
        <w:pStyle w:val="Bibliography"/>
      </w:pPr>
      <w:bookmarkStart w:id="17" w:name="ref-adler2014search"/>
      <w:bookmarkStart w:id="18" w:name="refs"/>
      <w:r>
        <w:t xml:space="preserve">Adler, S. A., &amp; Gallego, P. (2014). Search asymmetry and eye movements in infants and adults. </w:t>
      </w:r>
      <w:r>
        <w:rPr>
          <w:i/>
        </w:rPr>
        <w:t>Attention, Perception, &amp; Psychophysics</w:t>
      </w:r>
      <w:r>
        <w:t xml:space="preserve">, </w:t>
      </w:r>
      <w:r>
        <w:rPr>
          <w:i/>
        </w:rPr>
        <w:t>76</w:t>
      </w:r>
      <w:r>
        <w:t>(6), 1590–1608.</w:t>
      </w:r>
    </w:p>
    <w:p w14:paraId="479A7F41" w14:textId="77777777" w:rsidR="009A62BA" w:rsidRDefault="00E926AA">
      <w:pPr>
        <w:pStyle w:val="Bibliography"/>
      </w:pPr>
      <w:bookmarkStart w:id="19" w:name="ref-altman1995statistics"/>
      <w:bookmarkEnd w:id="17"/>
      <w:r>
        <w:t>Altman, D. G., &amp; Bland, J. M. (1995). Statistics note</w:t>
      </w:r>
      <w:r>
        <w:t xml:space="preserve">s: Absence of evidence is not evidence of absence. </w:t>
      </w:r>
      <w:r>
        <w:rPr>
          <w:i/>
        </w:rPr>
        <w:t>Bmj</w:t>
      </w:r>
      <w:r>
        <w:t xml:space="preserve">, </w:t>
      </w:r>
      <w:r>
        <w:rPr>
          <w:i/>
        </w:rPr>
        <w:t>311</w:t>
      </w:r>
      <w:r>
        <w:t>(7003), 485.</w:t>
      </w:r>
    </w:p>
    <w:p w14:paraId="0D10C46C" w14:textId="77777777" w:rsidR="009A62BA" w:rsidRDefault="00E926AA">
      <w:pPr>
        <w:pStyle w:val="Bibliography"/>
      </w:pPr>
      <w:bookmarkStart w:id="20" w:name="ref-R-papaja"/>
      <w:bookmarkEnd w:id="19"/>
      <w:r>
        <w:t xml:space="preserve">Aust, F., &amp; Barth, M. (2020). </w:t>
      </w:r>
      <w:r>
        <w:rPr>
          <w:i/>
        </w:rPr>
        <w:t>papaja: Create APA manuscripts with R Markdown</w:t>
      </w:r>
      <w:r>
        <w:t xml:space="preserve">. Retrieved from </w:t>
      </w:r>
      <w:hyperlink r:id="rId15">
        <w:r>
          <w:rPr>
            <w:rStyle w:val="Hyperlink"/>
          </w:rPr>
          <w:t>https://github.com/crsh/papaja</w:t>
        </w:r>
      </w:hyperlink>
    </w:p>
    <w:p w14:paraId="574C149C" w14:textId="77777777" w:rsidR="009A62BA" w:rsidRDefault="00E926AA">
      <w:pPr>
        <w:pStyle w:val="Bibliography"/>
      </w:pPr>
      <w:bookmarkStart w:id="21" w:name="ref-R-brms_b"/>
      <w:bookmarkEnd w:id="20"/>
      <w:r>
        <w:t>Bürkner, P</w:t>
      </w:r>
      <w:r>
        <w:t xml:space="preserve">.-C. (2018). Advanced Bayesian multilevel modeling with the R package brms. </w:t>
      </w:r>
      <w:r>
        <w:rPr>
          <w:i/>
        </w:rPr>
        <w:t>The R Journal</w:t>
      </w:r>
      <w:r>
        <w:t xml:space="preserve">, </w:t>
      </w:r>
      <w:r>
        <w:rPr>
          <w:i/>
        </w:rPr>
        <w:t>10</w:t>
      </w:r>
      <w:r>
        <w:t xml:space="preserve">(1), 395–411. </w:t>
      </w:r>
      <w:hyperlink r:id="rId16">
        <w:r>
          <w:rPr>
            <w:rStyle w:val="Hyperlink"/>
          </w:rPr>
          <w:t>https://doi.org/10.32614/RJ-2018-017</w:t>
        </w:r>
      </w:hyperlink>
    </w:p>
    <w:p w14:paraId="1CBF996A" w14:textId="77777777" w:rsidR="009A62BA" w:rsidRDefault="00E926AA">
      <w:pPr>
        <w:pStyle w:val="Bibliography"/>
      </w:pPr>
      <w:bookmarkStart w:id="22" w:name="ref-coldren2000asymmetries"/>
      <w:bookmarkEnd w:id="21"/>
      <w:r>
        <w:t>Coldren, J. T., &amp; Haaf, R. A. (2000). Asymmetries in inf</w:t>
      </w:r>
      <w:r>
        <w:t xml:space="preserve">ants’ attention to the presence or absence of features. </w:t>
      </w:r>
      <w:r>
        <w:rPr>
          <w:i/>
        </w:rPr>
        <w:t>The Journal of Genetic Psychology</w:t>
      </w:r>
      <w:r>
        <w:t xml:space="preserve">, </w:t>
      </w:r>
      <w:r>
        <w:rPr>
          <w:i/>
        </w:rPr>
        <w:t>161</w:t>
      </w:r>
      <w:r>
        <w:t>(4), 420–434.</w:t>
      </w:r>
    </w:p>
    <w:p w14:paraId="7D6D2AD5" w14:textId="77777777" w:rsidR="009A62BA" w:rsidRDefault="00E926AA">
      <w:pPr>
        <w:pStyle w:val="Bibliography"/>
      </w:pPr>
      <w:bookmarkStart w:id="23" w:name="ref-colombo1995visual"/>
      <w:bookmarkEnd w:id="22"/>
      <w:r>
        <w:t>Colombo, J., Ryther, J. S., Frick, J. E., &amp; Gifford, J. J. (1995). Visual pop-out in infants: Evidence for preattentive search in 3-and 4-month-olds</w:t>
      </w:r>
      <w:r>
        <w:t xml:space="preserve">. </w:t>
      </w:r>
      <w:r>
        <w:rPr>
          <w:i/>
        </w:rPr>
        <w:t>Psychonomic Bulletin &amp; Review</w:t>
      </w:r>
      <w:r>
        <w:t xml:space="preserve">, </w:t>
      </w:r>
      <w:r>
        <w:rPr>
          <w:i/>
        </w:rPr>
        <w:t>2</w:t>
      </w:r>
      <w:r>
        <w:t>(2), 266–268.</w:t>
      </w:r>
    </w:p>
    <w:p w14:paraId="6011177A" w14:textId="77777777" w:rsidR="009A62BA" w:rsidRDefault="00E926AA">
      <w:pPr>
        <w:pStyle w:val="Bibliography"/>
      </w:pPr>
      <w:bookmarkStart w:id="24" w:name="ref-de1988knowing"/>
      <w:bookmarkEnd w:id="23"/>
      <w:r>
        <w:t xml:space="preserve">De Cornulier, B. (1988). Knowing whether, knowing who, and epistemic closure. </w:t>
      </w:r>
      <w:r>
        <w:rPr>
          <w:i/>
        </w:rPr>
        <w:t>Questions and Questioning</w:t>
      </w:r>
      <w:r>
        <w:t>, 182–192.</w:t>
      </w:r>
    </w:p>
    <w:p w14:paraId="0ABE84F5" w14:textId="77777777" w:rsidR="009A62BA" w:rsidRDefault="00E926AA">
      <w:pPr>
        <w:pStyle w:val="Bibliography"/>
      </w:pPr>
      <w:bookmarkStart w:id="25" w:name="ref-dosher2004parallel"/>
      <w:bookmarkEnd w:id="24"/>
      <w:r>
        <w:t xml:space="preserve">Dosher, B. A., Han, S., &amp; Lu, Z.-L. (2004). Parallel processing in visual search asymmetry. </w:t>
      </w:r>
      <w:r>
        <w:rPr>
          <w:i/>
        </w:rPr>
        <w:t>Jo</w:t>
      </w:r>
      <w:r>
        <w:rPr>
          <w:i/>
        </w:rPr>
        <w:t>urnal of Experimental Psychology: Human Perception and Performance</w:t>
      </w:r>
      <w:r>
        <w:t xml:space="preserve">, </w:t>
      </w:r>
      <w:r>
        <w:rPr>
          <w:i/>
        </w:rPr>
        <w:t>30</w:t>
      </w:r>
      <w:r>
        <w:t>(1), 3.</w:t>
      </w:r>
    </w:p>
    <w:p w14:paraId="49FF521E" w14:textId="77777777" w:rsidR="009A62BA" w:rsidRDefault="00E926AA">
      <w:pPr>
        <w:pStyle w:val="Bibliography"/>
      </w:pPr>
      <w:bookmarkStart w:id="26" w:name="ref-fleming2010effects"/>
      <w:bookmarkEnd w:id="25"/>
      <w:r>
        <w:t xml:space="preserve">Fleming, S. M., &amp; Dolan, R. J. (2010). Effects of loss aversion on post-decision wagering: Implications for measures of awareness. </w:t>
      </w:r>
      <w:r>
        <w:rPr>
          <w:i/>
        </w:rPr>
        <w:t>Consciousness and Cognition</w:t>
      </w:r>
      <w:r>
        <w:t xml:space="preserve">, </w:t>
      </w:r>
      <w:r>
        <w:rPr>
          <w:i/>
        </w:rPr>
        <w:t>19</w:t>
      </w:r>
      <w:r>
        <w:t>(1), 352–363.</w:t>
      </w:r>
    </w:p>
    <w:p w14:paraId="62FE1BB1" w14:textId="77777777" w:rsidR="009A62BA" w:rsidRDefault="00E926AA">
      <w:pPr>
        <w:pStyle w:val="Bibliography"/>
      </w:pPr>
      <w:bookmarkStart w:id="27" w:name="ref-frith1974acurious"/>
      <w:bookmarkEnd w:id="26"/>
      <w:r>
        <w:lastRenderedPageBreak/>
        <w:t>Fr</w:t>
      </w:r>
      <w:r>
        <w:t xml:space="preserve">ith, U. (1974). Acurious effect with reversed letters explained by a theory of schema. </w:t>
      </w:r>
      <w:r>
        <w:rPr>
          <w:i/>
        </w:rPr>
        <w:t>Perception &amp; Psychophysics</w:t>
      </w:r>
      <w:r>
        <w:t xml:space="preserve">, </w:t>
      </w:r>
      <w:r>
        <w:rPr>
          <w:i/>
        </w:rPr>
        <w:t>16</w:t>
      </w:r>
      <w:r>
        <w:t>(1), 113–116.</w:t>
      </w:r>
    </w:p>
    <w:p w14:paraId="49794A7D" w14:textId="77777777" w:rsidR="009A62BA" w:rsidRDefault="00E926AA">
      <w:pPr>
        <w:pStyle w:val="Bibliography"/>
      </w:pPr>
      <w:bookmarkStart w:id="28" w:name="ref-hearst1991psychology"/>
      <w:bookmarkEnd w:id="27"/>
      <w:r>
        <w:t xml:space="preserve">Hearst, E. (1991). Psychology and nothing. </w:t>
      </w:r>
      <w:r>
        <w:rPr>
          <w:i/>
        </w:rPr>
        <w:t>American Scientist</w:t>
      </w:r>
      <w:r>
        <w:t xml:space="preserve">, </w:t>
      </w:r>
      <w:r>
        <w:rPr>
          <w:i/>
        </w:rPr>
        <w:t>79</w:t>
      </w:r>
      <w:r>
        <w:t>(5), 432–443.</w:t>
      </w:r>
    </w:p>
    <w:p w14:paraId="4D2B7A8C" w14:textId="77777777" w:rsidR="009A62BA" w:rsidRDefault="00E926AA">
      <w:pPr>
        <w:pStyle w:val="Bibliography"/>
      </w:pPr>
      <w:bookmarkStart w:id="29" w:name="ref-higham2009investigating"/>
      <w:bookmarkEnd w:id="28"/>
      <w:r>
        <w:t>Higham, P. A., Perfect, T. J., &amp; Bruno, D. (20</w:t>
      </w:r>
      <w:r>
        <w:t xml:space="preserve">09). Investigating strength and frequency effects in recognition memory using type-2 signal detection theory. </w:t>
      </w:r>
      <w:r>
        <w:rPr>
          <w:i/>
        </w:rPr>
        <w:t>Journal of Experimental Psychology: Learning, Memory, and Cognition</w:t>
      </w:r>
      <w:r>
        <w:t xml:space="preserve">, </w:t>
      </w:r>
      <w:r>
        <w:rPr>
          <w:i/>
        </w:rPr>
        <w:t>35</w:t>
      </w:r>
      <w:r>
        <w:t>(1), 57.</w:t>
      </w:r>
    </w:p>
    <w:p w14:paraId="18091E3C" w14:textId="77777777" w:rsidR="009A62BA" w:rsidRDefault="00E926AA">
      <w:pPr>
        <w:pStyle w:val="Bibliography"/>
      </w:pPr>
      <w:bookmarkStart w:id="30" w:name="ref-kanai2010subjective"/>
      <w:bookmarkEnd w:id="29"/>
      <w:r>
        <w:t>Kanai, R., Walsh, V., &amp; Tseng, C.-h. (2010). Subjective discrimina</w:t>
      </w:r>
      <w:r>
        <w:t xml:space="preserve">bility of invisibility: A framework for distinguishing perceptual and attentional failures of awareness. </w:t>
      </w:r>
      <w:r>
        <w:rPr>
          <w:i/>
        </w:rPr>
        <w:t>Consciousness and Cognition</w:t>
      </w:r>
      <w:r>
        <w:t xml:space="preserve">, </w:t>
      </w:r>
      <w:r>
        <w:rPr>
          <w:i/>
        </w:rPr>
        <w:t>19</w:t>
      </w:r>
      <w:r>
        <w:t>(4), 1045–1057.</w:t>
      </w:r>
    </w:p>
    <w:p w14:paraId="30D9A150" w14:textId="77777777" w:rsidR="009A62BA" w:rsidRDefault="00E926AA">
      <w:pPr>
        <w:pStyle w:val="Bibliography"/>
      </w:pPr>
      <w:bookmarkStart w:id="31" w:name="ref-kellij2018foundations"/>
      <w:bookmarkEnd w:id="30"/>
      <w:r>
        <w:t>Kellij, S., Fahrenfort, J., Lau, H., Peters, M. A., &amp; Odegaard, B. (2018). The foundations of introspect</w:t>
      </w:r>
      <w:r>
        <w:t>ive access: How the relative precision of target encoding influences metacognitive performance.</w:t>
      </w:r>
    </w:p>
    <w:p w14:paraId="280E58C6" w14:textId="77777777" w:rsidR="009A62BA" w:rsidRDefault="00E926AA">
      <w:pPr>
        <w:pStyle w:val="Bibliography"/>
      </w:pPr>
      <w:bookmarkStart w:id="32" w:name="ref-levitt1971transformed"/>
      <w:bookmarkEnd w:id="31"/>
      <w:r>
        <w:t xml:space="preserve">Levitt, H. (1971). Transformed up-down methods in psychoacoustics. </w:t>
      </w:r>
      <w:r>
        <w:rPr>
          <w:i/>
        </w:rPr>
        <w:t>The Journal of the Acoustical Society of America</w:t>
      </w:r>
      <w:r>
        <w:t xml:space="preserve">, </w:t>
      </w:r>
      <w:r>
        <w:rPr>
          <w:i/>
        </w:rPr>
        <w:t>49</w:t>
      </w:r>
      <w:r>
        <w:t>(2B), 467–477.</w:t>
      </w:r>
    </w:p>
    <w:p w14:paraId="49706E2F" w14:textId="77777777" w:rsidR="009A62BA" w:rsidRDefault="00E926AA">
      <w:pPr>
        <w:pStyle w:val="Bibliography"/>
      </w:pPr>
      <w:bookmarkStart w:id="33" w:name="ref-locke1836essay"/>
      <w:bookmarkEnd w:id="32"/>
      <w:r>
        <w:t xml:space="preserve">Locke, J. (1836). An essay concerning human understanding (bk. Iv. </w:t>
      </w:r>
      <w:r>
        <w:rPr>
          <w:i/>
        </w:rPr>
        <w:t>Chap. XXVII</w:t>
      </w:r>
      <w:r>
        <w:t>.</w:t>
      </w:r>
    </w:p>
    <w:p w14:paraId="793FDB23" w14:textId="77777777" w:rsidR="009A62BA" w:rsidRDefault="00E926AA">
      <w:pPr>
        <w:pStyle w:val="Bibliography"/>
      </w:pPr>
      <w:bookmarkStart w:id="34" w:name="ref-mazor2020distinct"/>
      <w:bookmarkEnd w:id="33"/>
      <w:r>
        <w:t xml:space="preserve">Mazor, M., Friston, K. J., &amp; Fleming, S. M. (2020). Distinct neural contributions to metacognition for detecting, but not discriminating visual stimuli. </w:t>
      </w:r>
      <w:r>
        <w:rPr>
          <w:i/>
        </w:rPr>
        <w:t>Elife</w:t>
      </w:r>
      <w:r>
        <w:t xml:space="preserve">, </w:t>
      </w:r>
      <w:r>
        <w:rPr>
          <w:i/>
        </w:rPr>
        <w:t>9</w:t>
      </w:r>
      <w:r>
        <w:t>, e53900.</w:t>
      </w:r>
    </w:p>
    <w:p w14:paraId="21C6B44B" w14:textId="77777777" w:rsidR="009A62BA" w:rsidRDefault="00E926AA">
      <w:pPr>
        <w:pStyle w:val="Bibliography"/>
      </w:pPr>
      <w:bookmarkStart w:id="35" w:name="ref-mazor2019novel"/>
      <w:bookmarkEnd w:id="34"/>
      <w:r>
        <w:t>Mazor</w:t>
      </w:r>
      <w:r>
        <w:t xml:space="preserve">, M., Mazor, N., &amp; Mukamel, R. (2019). A novel tool for time-locking study plans to results. </w:t>
      </w:r>
      <w:r>
        <w:rPr>
          <w:i/>
        </w:rPr>
        <w:t>European Journal of Neuroscience</w:t>
      </w:r>
      <w:r>
        <w:t xml:space="preserve">, </w:t>
      </w:r>
      <w:r>
        <w:rPr>
          <w:i/>
        </w:rPr>
        <w:t>49</w:t>
      </w:r>
      <w:r>
        <w:t>(9), 1149–1156.</w:t>
      </w:r>
    </w:p>
    <w:p w14:paraId="5EFF6E59" w14:textId="77777777" w:rsidR="009A62BA" w:rsidRDefault="00E926AA">
      <w:pPr>
        <w:pStyle w:val="Bibliography"/>
      </w:pPr>
      <w:bookmarkStart w:id="36" w:name="ref-meuwese2014subjective"/>
      <w:bookmarkEnd w:id="35"/>
      <w:r>
        <w:lastRenderedPageBreak/>
        <w:t xml:space="preserve">Meuwese, J. D., Loon, A. M. van, Lamme, V. A., &amp; Fahrenfort, J. J. (2014). The subjective experience of object recognition: Comparing metacognition for object detection and object categorization. </w:t>
      </w:r>
      <w:r>
        <w:rPr>
          <w:i/>
        </w:rPr>
        <w:t>Attention, Perception, &amp; Psychophysics</w:t>
      </w:r>
      <w:r>
        <w:t xml:space="preserve">, </w:t>
      </w:r>
      <w:r>
        <w:rPr>
          <w:i/>
        </w:rPr>
        <w:t>76</w:t>
      </w:r>
      <w:r>
        <w:t>(4), 1057–1068.</w:t>
      </w:r>
    </w:p>
    <w:p w14:paraId="083922A7" w14:textId="77777777" w:rsidR="009A62BA" w:rsidRDefault="00E926AA">
      <w:pPr>
        <w:pStyle w:val="Bibliography"/>
      </w:pPr>
      <w:bookmarkStart w:id="37" w:name="ref-R-BayesFactor"/>
      <w:bookmarkEnd w:id="36"/>
      <w:r>
        <w:t>Mo</w:t>
      </w:r>
      <w:r>
        <w:t xml:space="preserve">rey, R. D., &amp; Rouder, J. N. (2018). </w:t>
      </w:r>
      <w:r>
        <w:rPr>
          <w:i/>
        </w:rPr>
        <w:t>BayesFactor: Computation of bayes factors for common designs</w:t>
      </w:r>
      <w:r>
        <w:t xml:space="preserve">. Retrieved from </w:t>
      </w:r>
      <w:hyperlink r:id="rId17">
        <w:r>
          <w:rPr>
            <w:rStyle w:val="Hyperlink"/>
          </w:rPr>
          <w:t>https://CRAN.R-project.org/package=BayesFactor</w:t>
        </w:r>
      </w:hyperlink>
    </w:p>
    <w:p w14:paraId="12F31DBD" w14:textId="77777777" w:rsidR="009A62BA" w:rsidRDefault="00E926AA">
      <w:pPr>
        <w:pStyle w:val="Bibliography"/>
      </w:pPr>
      <w:bookmarkStart w:id="38" w:name="ref-newman1980feature"/>
      <w:bookmarkEnd w:id="37"/>
      <w:r>
        <w:t>Newman, J. P., Wolff, W. T., &amp;</w:t>
      </w:r>
      <w:r>
        <w:t xml:space="preserve"> Hearst, E. (1980). The feature-positive effect in adult human subjects. </w:t>
      </w:r>
      <w:r>
        <w:rPr>
          <w:i/>
        </w:rPr>
        <w:t>Journal of Experimental Psychology: Human Learning and Memory</w:t>
      </w:r>
      <w:r>
        <w:t xml:space="preserve">, </w:t>
      </w:r>
      <w:r>
        <w:rPr>
          <w:i/>
        </w:rPr>
        <w:t>6</w:t>
      </w:r>
      <w:r>
        <w:t>(5), 630.</w:t>
      </w:r>
    </w:p>
    <w:p w14:paraId="13C89090" w14:textId="77777777" w:rsidR="009A62BA" w:rsidRDefault="00E926AA">
      <w:pPr>
        <w:pStyle w:val="Bibliography"/>
      </w:pPr>
      <w:bookmarkStart w:id="39" w:name="ref-oaksford2002contrast"/>
      <w:bookmarkEnd w:id="38"/>
      <w:r>
        <w:t>Oaksford, M. (2002). Contrast classes and matching bias as explanations of the effects of negation on conditi</w:t>
      </w:r>
      <w:r>
        <w:t xml:space="preserve">onal reasoning. </w:t>
      </w:r>
      <w:r>
        <w:rPr>
          <w:i/>
        </w:rPr>
        <w:t>Thinking &amp; Reasoning</w:t>
      </w:r>
      <w:r>
        <w:t xml:space="preserve">, </w:t>
      </w:r>
      <w:r>
        <w:rPr>
          <w:i/>
        </w:rPr>
        <w:t>8</w:t>
      </w:r>
      <w:r>
        <w:t>(2), 135–151.</w:t>
      </w:r>
    </w:p>
    <w:p w14:paraId="105EA0EF" w14:textId="77777777" w:rsidR="009A62BA" w:rsidRDefault="00E926AA">
      <w:pPr>
        <w:pStyle w:val="Bibliography"/>
      </w:pPr>
      <w:bookmarkStart w:id="40" w:name="ref-oaksford2001probabilistic"/>
      <w:bookmarkEnd w:id="39"/>
      <w:r>
        <w:t xml:space="preserve">Oaksford, M., &amp; Chater, N. (2001). The probabilistic approach to human reasoning. </w:t>
      </w:r>
      <w:r>
        <w:rPr>
          <w:i/>
        </w:rPr>
        <w:t>Trends in Cognitive Sciences</w:t>
      </w:r>
      <w:r>
        <w:t xml:space="preserve">, </w:t>
      </w:r>
      <w:r>
        <w:rPr>
          <w:i/>
        </w:rPr>
        <w:t>5</w:t>
      </w:r>
      <w:r>
        <w:t>(8), 349–357.</w:t>
      </w:r>
    </w:p>
    <w:p w14:paraId="1950A248" w14:textId="77777777" w:rsidR="009A62BA" w:rsidRDefault="00E926AA">
      <w:pPr>
        <w:pStyle w:val="Bibliography"/>
      </w:pPr>
      <w:bookmarkStart w:id="41" w:name="ref-R-base"/>
      <w:bookmarkEnd w:id="40"/>
      <w:r>
        <w:t xml:space="preserve">R Core Team. (2019). </w:t>
      </w:r>
      <w:r>
        <w:rPr>
          <w:i/>
        </w:rPr>
        <w:t>R: A language and environment for statistical computing</w:t>
      </w:r>
      <w:r>
        <w:t xml:space="preserve">. Vienna, Austria: R Foundation for Statistical Computing. Retrieved from </w:t>
      </w:r>
      <w:hyperlink r:id="rId18">
        <w:r>
          <w:rPr>
            <w:rStyle w:val="Hyperlink"/>
          </w:rPr>
          <w:t>https://www.R-project.org/</w:t>
        </w:r>
      </w:hyperlink>
    </w:p>
    <w:p w14:paraId="456E5323" w14:textId="77777777" w:rsidR="009A62BA" w:rsidRDefault="00E926AA">
      <w:pPr>
        <w:pStyle w:val="Bibliography"/>
      </w:pPr>
      <w:bookmarkStart w:id="42" w:name="ref-R-broom"/>
      <w:bookmarkEnd w:id="41"/>
      <w:r>
        <w:t xml:space="preserve">Robinson, D., &amp; Hayes, A. (2020). </w:t>
      </w:r>
      <w:r>
        <w:rPr>
          <w:i/>
        </w:rPr>
        <w:t>Broom: Convert statistical analysis objects into tidy tibbles</w:t>
      </w:r>
      <w:r>
        <w:t>. Retrieved fr</w:t>
      </w:r>
      <w:r>
        <w:t xml:space="preserve">om </w:t>
      </w:r>
      <w:hyperlink r:id="rId19">
        <w:r>
          <w:rPr>
            <w:rStyle w:val="Hyperlink"/>
          </w:rPr>
          <w:t>https://CRAN.R-project.org/package=broom</w:t>
        </w:r>
      </w:hyperlink>
    </w:p>
    <w:p w14:paraId="34783B49" w14:textId="77777777" w:rsidR="009A62BA" w:rsidRDefault="00E926AA">
      <w:pPr>
        <w:pStyle w:val="Bibliography"/>
      </w:pPr>
      <w:bookmarkStart w:id="43" w:name="ref-saiki2008stimulus"/>
      <w:bookmarkEnd w:id="42"/>
      <w:r>
        <w:t xml:space="preserve">Saiki, J. (2008). Stimulus-driven mechanisms underlying visual search asymmetry revealed by classification image analyses. </w:t>
      </w:r>
      <w:r>
        <w:rPr>
          <w:i/>
        </w:rPr>
        <w:t>Journal of Vision</w:t>
      </w:r>
      <w:r>
        <w:t xml:space="preserve">, </w:t>
      </w:r>
      <w:r>
        <w:rPr>
          <w:i/>
        </w:rPr>
        <w:t>8</w:t>
      </w:r>
      <w:r>
        <w:t>(4), 30–3</w:t>
      </w:r>
      <w:r>
        <w:t>0.</w:t>
      </w:r>
    </w:p>
    <w:p w14:paraId="038723A2" w14:textId="77777777" w:rsidR="009A62BA" w:rsidRDefault="00E926AA">
      <w:pPr>
        <w:pStyle w:val="Bibliography"/>
      </w:pPr>
      <w:bookmarkStart w:id="44" w:name="ref-sainsbury1971feature"/>
      <w:bookmarkEnd w:id="43"/>
      <w:r>
        <w:t xml:space="preserve">Sainsbury, R. (1971). The “feature positive effect” and simultaneous discrimination learning. </w:t>
      </w:r>
      <w:r>
        <w:rPr>
          <w:i/>
        </w:rPr>
        <w:t>Journal of Experimental Child Psychology</w:t>
      </w:r>
      <w:r>
        <w:t xml:space="preserve">, </w:t>
      </w:r>
      <w:r>
        <w:rPr>
          <w:i/>
        </w:rPr>
        <w:t>11</w:t>
      </w:r>
      <w:r>
        <w:t>(3), 347–356.</w:t>
      </w:r>
    </w:p>
    <w:p w14:paraId="726EB598" w14:textId="77777777" w:rsidR="009A62BA" w:rsidRDefault="00E926AA">
      <w:pPr>
        <w:pStyle w:val="Bibliography"/>
      </w:pPr>
      <w:bookmarkStart w:id="45" w:name="ref-schuirmann1987comparison"/>
      <w:bookmarkEnd w:id="44"/>
      <w:r>
        <w:lastRenderedPageBreak/>
        <w:t>Schuirmann, D. J. (1987). A comparison of the two one-sided tests procedure and the power approach fo</w:t>
      </w:r>
      <w:r>
        <w:t xml:space="preserve">r assessing the equivalence of average bioavailability. </w:t>
      </w:r>
      <w:r>
        <w:rPr>
          <w:i/>
        </w:rPr>
        <w:t>Journal of Pharmacokinetics and Biopharmaceutics</w:t>
      </w:r>
      <w:r>
        <w:t xml:space="preserve">, </w:t>
      </w:r>
      <w:r>
        <w:rPr>
          <w:i/>
        </w:rPr>
        <w:t>15</w:t>
      </w:r>
      <w:r>
        <w:t>(6), 657–680.</w:t>
      </w:r>
    </w:p>
    <w:p w14:paraId="1C398DD2" w14:textId="77777777" w:rsidR="009A62BA" w:rsidRDefault="00E926AA">
      <w:pPr>
        <w:pStyle w:val="Bibliography"/>
      </w:pPr>
      <w:bookmarkStart w:id="46" w:name="ref-takeda2000inhibitory"/>
      <w:bookmarkEnd w:id="45"/>
      <w:r>
        <w:t xml:space="preserve">Takeda, Y., &amp; Yagi, A. (2000). Inhibitory tagging in visual search can be found if search stimuli remain visible. </w:t>
      </w:r>
      <w:r>
        <w:rPr>
          <w:i/>
        </w:rPr>
        <w:t>Perception &amp; Psychop</w:t>
      </w:r>
      <w:r>
        <w:rPr>
          <w:i/>
        </w:rPr>
        <w:t>hysics</w:t>
      </w:r>
      <w:r>
        <w:t xml:space="preserve">, </w:t>
      </w:r>
      <w:r>
        <w:rPr>
          <w:i/>
        </w:rPr>
        <w:t>62</w:t>
      </w:r>
      <w:r>
        <w:t>(5), 927–934.</w:t>
      </w:r>
    </w:p>
    <w:p w14:paraId="67025FAB" w14:textId="77777777" w:rsidR="009A62BA" w:rsidRDefault="00E926AA">
      <w:pPr>
        <w:pStyle w:val="Bibliography"/>
      </w:pPr>
      <w:bookmarkStart w:id="47" w:name="ref-treisman1988feature"/>
      <w:bookmarkEnd w:id="46"/>
      <w:r>
        <w:t xml:space="preserve">Treisman, A., &amp; Gormican, S. (1988). Feature analysis in early vision: Evidence from search asymmetries. </w:t>
      </w:r>
      <w:r>
        <w:rPr>
          <w:i/>
        </w:rPr>
        <w:t>Psychological Review</w:t>
      </w:r>
      <w:r>
        <w:t xml:space="preserve">, </w:t>
      </w:r>
      <w:r>
        <w:rPr>
          <w:i/>
        </w:rPr>
        <w:t>95</w:t>
      </w:r>
      <w:r>
        <w:t>(1), 15.</w:t>
      </w:r>
    </w:p>
    <w:p w14:paraId="611D0DAB" w14:textId="77777777" w:rsidR="009A62BA" w:rsidRDefault="00E926AA">
      <w:pPr>
        <w:pStyle w:val="Bibliography"/>
      </w:pPr>
      <w:bookmarkStart w:id="48" w:name="ref-treisman1985search"/>
      <w:bookmarkEnd w:id="47"/>
      <w:r>
        <w:t>Treisman, A., &amp; Souther, J. (1985). Search asymmetry: A diagnostic for preattentive processing</w:t>
      </w:r>
      <w:r>
        <w:t xml:space="preserve"> of separable features. </w:t>
      </w:r>
      <w:r>
        <w:rPr>
          <w:i/>
        </w:rPr>
        <w:t>Journal of Experimental Psychology: General</w:t>
      </w:r>
      <w:r>
        <w:t xml:space="preserve">, </w:t>
      </w:r>
      <w:r>
        <w:rPr>
          <w:i/>
        </w:rPr>
        <w:t>114</w:t>
      </w:r>
      <w:r>
        <w:t>(3), 285.</w:t>
      </w:r>
    </w:p>
    <w:p w14:paraId="32A23E33" w14:textId="77777777" w:rsidR="009A62BA" w:rsidRDefault="00E926AA">
      <w:pPr>
        <w:pStyle w:val="Bibliography"/>
      </w:pPr>
      <w:bookmarkStart w:id="49" w:name="ref-tuzet2015absence"/>
      <w:bookmarkEnd w:id="48"/>
      <w:r>
        <w:t xml:space="preserve">Tuzet, G. (2015). On the absence of evidence. In </w:t>
      </w:r>
      <w:r>
        <w:rPr>
          <w:i/>
        </w:rPr>
        <w:t>Argument types and fallacies in legal argumentation</w:t>
      </w:r>
      <w:r>
        <w:t xml:space="preserve"> (pp. 37–51). Springer.</w:t>
      </w:r>
    </w:p>
    <w:p w14:paraId="153905A5" w14:textId="77777777" w:rsidR="009A62BA" w:rsidRDefault="00E926AA">
      <w:pPr>
        <w:pStyle w:val="Bibliography"/>
      </w:pPr>
      <w:bookmarkStart w:id="50" w:name="ref-vincent2011search"/>
      <w:bookmarkEnd w:id="49"/>
      <w:r>
        <w:t xml:space="preserve">Vincent, B. T. (2011). Search asymmetries: Parallel processing of uncertain sensory information. </w:t>
      </w:r>
      <w:r>
        <w:rPr>
          <w:i/>
        </w:rPr>
        <w:t>Vision Research</w:t>
      </w:r>
      <w:r>
        <w:t xml:space="preserve">, </w:t>
      </w:r>
      <w:r>
        <w:rPr>
          <w:i/>
        </w:rPr>
        <w:t>51</w:t>
      </w:r>
      <w:r>
        <w:t>(15), 1741–1750.</w:t>
      </w:r>
    </w:p>
    <w:p w14:paraId="479A399F" w14:textId="77777777" w:rsidR="009A62BA" w:rsidRDefault="00E926AA">
      <w:pPr>
        <w:pStyle w:val="Bibliography"/>
      </w:pPr>
      <w:bookmarkStart w:id="51" w:name="ref-walton1992nonfallacious"/>
      <w:bookmarkEnd w:id="50"/>
      <w:r>
        <w:t xml:space="preserve">Walton, D. (1992). Nonfallacious arguments from ignorance. </w:t>
      </w:r>
      <w:r>
        <w:rPr>
          <w:i/>
        </w:rPr>
        <w:t>American Philosophical Quarterly</w:t>
      </w:r>
      <w:r>
        <w:t xml:space="preserve">, </w:t>
      </w:r>
      <w:r>
        <w:rPr>
          <w:i/>
        </w:rPr>
        <w:t>29</w:t>
      </w:r>
      <w:r>
        <w:t>(4), 381–387.</w:t>
      </w:r>
    </w:p>
    <w:p w14:paraId="02A168D3" w14:textId="77777777" w:rsidR="009A62BA" w:rsidRDefault="00E926AA">
      <w:pPr>
        <w:pStyle w:val="Bibliography"/>
      </w:pPr>
      <w:bookmarkStart w:id="52" w:name="ref-wang1994familiarity"/>
      <w:bookmarkEnd w:id="51"/>
      <w:r>
        <w:t>Wang, Q., Cava</w:t>
      </w:r>
      <w:r>
        <w:t xml:space="preserve">nagh, P., &amp; Green, M. (1994). Familiarity and pop-out in visual search. </w:t>
      </w:r>
      <w:r>
        <w:rPr>
          <w:i/>
        </w:rPr>
        <w:t>Perception &amp; Psychophysics</w:t>
      </w:r>
      <w:r>
        <w:t xml:space="preserve">, </w:t>
      </w:r>
      <w:r>
        <w:rPr>
          <w:i/>
        </w:rPr>
        <w:t>56</w:t>
      </w:r>
      <w:r>
        <w:t>(5), 495–500.</w:t>
      </w:r>
    </w:p>
    <w:p w14:paraId="053F14E3" w14:textId="77777777" w:rsidR="009A62BA" w:rsidRDefault="00E926AA">
      <w:pPr>
        <w:pStyle w:val="Bibliography"/>
      </w:pPr>
      <w:bookmarkStart w:id="53" w:name="ref-wickens2002elementary"/>
      <w:bookmarkEnd w:id="52"/>
      <w:r>
        <w:t xml:space="preserve">Wickens, T. D. (2002). </w:t>
      </w:r>
      <w:r>
        <w:rPr>
          <w:i/>
        </w:rPr>
        <w:t>Elementary signal detection theory</w:t>
      </w:r>
      <w:r>
        <w:t>. Oxford University Press, USA.</w:t>
      </w:r>
    </w:p>
    <w:p w14:paraId="6010FEB7" w14:textId="77777777" w:rsidR="009A62BA" w:rsidRDefault="00E926AA">
      <w:pPr>
        <w:pStyle w:val="Bibliography"/>
      </w:pPr>
      <w:bookmarkStart w:id="54" w:name="ref-R-ggplot2"/>
      <w:bookmarkEnd w:id="53"/>
      <w:r>
        <w:t xml:space="preserve">Wickham, H. (2016). </w:t>
      </w:r>
      <w:r>
        <w:rPr>
          <w:i/>
        </w:rPr>
        <w:t>Ggplot2: Elegant graphics for d</w:t>
      </w:r>
      <w:r>
        <w:rPr>
          <w:i/>
        </w:rPr>
        <w:t>ata analysis</w:t>
      </w:r>
      <w:r>
        <w:t xml:space="preserve">. Springer-Verlag New York. Retrieved from </w:t>
      </w:r>
      <w:hyperlink r:id="rId20">
        <w:r>
          <w:rPr>
            <w:rStyle w:val="Hyperlink"/>
          </w:rPr>
          <w:t>https://ggplot2.tidyverse.org</w:t>
        </w:r>
      </w:hyperlink>
    </w:p>
    <w:p w14:paraId="0708906F" w14:textId="77777777" w:rsidR="009A62BA" w:rsidRDefault="00E926AA">
      <w:pPr>
        <w:pStyle w:val="Bibliography"/>
      </w:pPr>
      <w:bookmarkStart w:id="55" w:name="ref-R-dplyr"/>
      <w:bookmarkEnd w:id="54"/>
      <w:r>
        <w:lastRenderedPageBreak/>
        <w:t xml:space="preserve">Wickham, H., François, R., Henry, L., &amp; Müller, K. (2020). </w:t>
      </w:r>
      <w:r>
        <w:rPr>
          <w:i/>
        </w:rPr>
        <w:t>Dplyr: A grammar of data manipulation</w:t>
      </w:r>
      <w:r>
        <w:t xml:space="preserve">. Retrieved from </w:t>
      </w:r>
      <w:hyperlink r:id="rId21">
        <w:r>
          <w:rPr>
            <w:rStyle w:val="Hyperlink"/>
          </w:rPr>
          <w:t>https://CRAN.R-project.org/package=dplyr</w:t>
        </w:r>
      </w:hyperlink>
    </w:p>
    <w:p w14:paraId="6E99B455" w14:textId="77777777" w:rsidR="009A62BA" w:rsidRDefault="00E926AA">
      <w:pPr>
        <w:pStyle w:val="Bibliography"/>
      </w:pPr>
      <w:bookmarkStart w:id="56" w:name="ref-R-tidyr"/>
      <w:bookmarkEnd w:id="55"/>
      <w:r>
        <w:t xml:space="preserve">Wickham, H., &amp; Henry, L. (2020). </w:t>
      </w:r>
      <w:r>
        <w:rPr>
          <w:i/>
        </w:rPr>
        <w:t>Tidyr: Tidy messy data</w:t>
      </w:r>
      <w:r>
        <w:t xml:space="preserve">. Retrieved from </w:t>
      </w:r>
      <w:hyperlink r:id="rId22">
        <w:r>
          <w:rPr>
            <w:rStyle w:val="Hyperlink"/>
          </w:rPr>
          <w:t>https://CRAN.R-project.org/packa</w:t>
        </w:r>
        <w:r>
          <w:rPr>
            <w:rStyle w:val="Hyperlink"/>
          </w:rPr>
          <w:t>ge=tidyr</w:t>
        </w:r>
      </w:hyperlink>
    </w:p>
    <w:p w14:paraId="19A8220F" w14:textId="77777777" w:rsidR="009A62BA" w:rsidRDefault="00E926AA">
      <w:pPr>
        <w:pStyle w:val="Bibliography"/>
      </w:pPr>
      <w:bookmarkStart w:id="57" w:name="ref-R-cowplot"/>
      <w:bookmarkEnd w:id="56"/>
      <w:r>
        <w:t xml:space="preserve">Wilke, C. O. (2019). </w:t>
      </w:r>
      <w:r>
        <w:rPr>
          <w:i/>
        </w:rPr>
        <w:t>Cowplot: Streamlined plot theme and plot annotations for ’ggplot2’</w:t>
      </w:r>
      <w:r>
        <w:t xml:space="preserve">. Retrieved from </w:t>
      </w:r>
      <w:hyperlink r:id="rId23">
        <w:r>
          <w:rPr>
            <w:rStyle w:val="Hyperlink"/>
          </w:rPr>
          <w:t>https://CRAN.R-project.org/package=cowplot</w:t>
        </w:r>
      </w:hyperlink>
    </w:p>
    <w:p w14:paraId="622F529E" w14:textId="77777777" w:rsidR="009A62BA" w:rsidRDefault="00E926AA">
      <w:pPr>
        <w:pStyle w:val="Bibliography"/>
      </w:pPr>
      <w:bookmarkStart w:id="58" w:name="ref-williams1959comparison"/>
      <w:bookmarkEnd w:id="57"/>
      <w:r>
        <w:t>Williams, E. J. (1959). The comparison</w:t>
      </w:r>
      <w:r>
        <w:t xml:space="preserve"> of regression variables. </w:t>
      </w:r>
      <w:r>
        <w:rPr>
          <w:i/>
        </w:rPr>
        <w:t>Journal of the Royal Statistical Society: Series B (Methodological)</w:t>
      </w:r>
      <w:r>
        <w:t xml:space="preserve">, </w:t>
      </w:r>
      <w:r>
        <w:rPr>
          <w:i/>
        </w:rPr>
        <w:t>21</w:t>
      </w:r>
      <w:r>
        <w:t>(2), 396–399.</w:t>
      </w:r>
    </w:p>
    <w:p w14:paraId="4C8167F1" w14:textId="77777777" w:rsidR="009A62BA" w:rsidRDefault="00E926AA">
      <w:pPr>
        <w:pStyle w:val="Bibliography"/>
      </w:pPr>
      <w:bookmarkStart w:id="59" w:name="ref-wolfe1998can"/>
      <w:bookmarkEnd w:id="58"/>
      <w:r>
        <w:t xml:space="preserve">Wolfe, J. M. (1998). What can 1 million trials tell us about visual search? </w:t>
      </w:r>
      <w:r>
        <w:rPr>
          <w:i/>
        </w:rPr>
        <w:t>Psychological Science</w:t>
      </w:r>
      <w:r>
        <w:t xml:space="preserve">, </w:t>
      </w:r>
      <w:r>
        <w:rPr>
          <w:i/>
        </w:rPr>
        <w:t>9</w:t>
      </w:r>
      <w:r>
        <w:t>(1), 33–39.</w:t>
      </w:r>
    </w:p>
    <w:p w14:paraId="1B7D5BA6" w14:textId="77777777" w:rsidR="009A62BA" w:rsidRDefault="00E926AA">
      <w:pPr>
        <w:pStyle w:val="Bibliography"/>
      </w:pPr>
      <w:bookmarkStart w:id="60" w:name="ref-wolfe2001asymmetries"/>
      <w:bookmarkEnd w:id="59"/>
      <w:r>
        <w:t xml:space="preserve">Wolfe, J. M. (2001). Asymmetries </w:t>
      </w:r>
      <w:r>
        <w:t xml:space="preserve">in visual search: An introduction. </w:t>
      </w:r>
      <w:r>
        <w:rPr>
          <w:i/>
        </w:rPr>
        <w:t>Perception &amp; Psychophysics</w:t>
      </w:r>
      <w:r>
        <w:t xml:space="preserve">, </w:t>
      </w:r>
      <w:r>
        <w:rPr>
          <w:i/>
        </w:rPr>
        <w:t>63</w:t>
      </w:r>
      <w:r>
        <w:t>(3), 381–389.</w:t>
      </w:r>
    </w:p>
    <w:bookmarkEnd w:id="18"/>
    <w:bookmarkEnd w:id="60"/>
    <w:p w14:paraId="3331B3A4" w14:textId="77777777" w:rsidR="009A62BA" w:rsidRDefault="00E926AA">
      <w:r>
        <w:br w:type="page"/>
      </w:r>
    </w:p>
    <w:p w14:paraId="14C5673C" w14:textId="77777777" w:rsidR="009A62BA" w:rsidRDefault="00E926AA">
      <w:pPr>
        <w:pStyle w:val="Heading1"/>
      </w:pPr>
      <w:bookmarkStart w:id="61" w:name="supplementary-information"/>
      <w:r>
        <w:lastRenderedPageBreak/>
        <w:t>Supplementary information</w:t>
      </w:r>
      <w:bookmarkEnd w:id="61"/>
    </w:p>
    <w:p w14:paraId="7416154D" w14:textId="77777777" w:rsidR="009A62BA" w:rsidRDefault="00E926AA">
      <w:pPr>
        <w:pStyle w:val="Heading1"/>
      </w:pPr>
      <w:bookmarkStart w:id="62" w:name="pilot-data-and-analysis"/>
      <w:r>
        <w:t>Pilot data and analysis</w:t>
      </w:r>
      <w:bookmarkEnd w:id="62"/>
    </w:p>
    <w:p w14:paraId="0E3C2722" w14:textId="77777777" w:rsidR="009A62BA" w:rsidRDefault="00E926AA">
      <w:pPr>
        <w:pStyle w:val="Heading2"/>
      </w:pPr>
      <w:bookmarkStart w:id="63" w:name="pilot-experiment-1"/>
      <w:r>
        <w:t>Pilot Experiment 1</w:t>
      </w:r>
      <w:bookmarkEnd w:id="63"/>
    </w:p>
    <w:p w14:paraId="34B5F614" w14:textId="77777777" w:rsidR="009A62BA" w:rsidRDefault="00E926AA">
      <w:pPr>
        <w:pStyle w:val="FirstParagraph"/>
      </w:pPr>
      <w:r>
        <w:t xml:space="preserve">30 participants were recruited from Prolific for our pilot experiment. We followed the procedure described in the Methods section, using </w:t>
      </w:r>
      <w:r>
        <w:rPr>
          <w:i/>
        </w:rPr>
        <w:t>Q</w:t>
      </w:r>
      <w:r>
        <w:t xml:space="preserve"> and </w:t>
      </w:r>
      <w:r>
        <w:rPr>
          <w:i/>
        </w:rPr>
        <w:t>O</w:t>
      </w:r>
      <w:r>
        <w:t xml:space="preserve"> as our stimuli. The experiment took about 10 minutes to complete. Subjects were paid £1.25 for their participat</w:t>
      </w:r>
      <w:r>
        <w:t>ion.</w:t>
      </w:r>
    </w:p>
    <w:p w14:paraId="43AE35FB" w14:textId="77777777" w:rsidR="009A62BA" w:rsidRDefault="00E926AA">
      <w:pPr>
        <w:pStyle w:val="BodyText"/>
      </w:pPr>
      <w:r>
        <w:t>Mean accuracy was 0.80 in the discrimination task, 0.96 in the Q-in-O search task, and 0.95 in the O-in-Q search task. We excluded participants for performing below 70% accuracy in one or two of the search tasks, for performing below 60% accuracy in the di</w:t>
      </w:r>
      <w:r>
        <w:t>scrimination task, for having extremely fast or slow reaction times in one or more of the tasks (below 250 milliseconds or above 5 seconds in more than 25% of the trials), and for failing the comprehension check. Overall we excluded 0 participants, leaving</w:t>
      </w:r>
      <w:r>
        <w:t xml:space="preserve"> 30 participants for the main analysis.</w:t>
      </w:r>
    </w:p>
    <w:p w14:paraId="0D59BA6C" w14:textId="77777777" w:rsidR="009A62BA" w:rsidRDefault="00E926AA">
      <w:pPr>
        <w:pStyle w:val="Heading2"/>
      </w:pPr>
      <w:bookmarkStart w:id="64" w:name="visual-search-task-search-asymmetry"/>
      <w:r>
        <w:t>Visual search task: search asymmetry</w:t>
      </w:r>
      <w:bookmarkEnd w:id="64"/>
    </w:p>
    <w:p w14:paraId="46518BB7" w14:textId="77777777" w:rsidR="009A62BA" w:rsidRDefault="00E926AA">
      <w:pPr>
        <w:pStyle w:val="FirstParagraph"/>
      </w:pPr>
      <w:r>
        <w:t>Search time analysis was performed on correct trials with reaction time between 250 and 5000 milliseconds. Search slopes for the response time/set size function were extracted for</w:t>
      </w:r>
      <w:r>
        <w:t xml:space="preserve"> each participant, task and response, and then subjected to a two-way analysis of variance. As expected, we observed significant effects for target identity (mean search slope for </w:t>
      </w:r>
      <w:r>
        <w:rPr>
          <w:i/>
        </w:rPr>
        <w:t>Q-in-O</w:t>
      </w:r>
      <w:r>
        <w:t xml:space="preserve"> search: 18.93 ms/item; mean search slope for </w:t>
      </w:r>
      <w:r>
        <w:rPr>
          <w:i/>
        </w:rPr>
        <w:t>O-in-Q</w:t>
      </w:r>
      <w:r>
        <w:t xml:space="preserve"> search: 54.89 ms/</w:t>
      </w:r>
      <w:r>
        <w:t xml:space="preserve">item; </w:t>
      </w:r>
      <m:oMath>
        <m:r>
          <w:rPr>
            <w:rFonts w:ascii="Cambria Math" w:hAnsi="Cambria Math"/>
          </w:rPr>
          <m:t>F</m:t>
        </m:r>
        <m:r>
          <w:rPr>
            <w:rFonts w:ascii="Cambria Math" w:hAnsi="Cambria Math"/>
          </w:rPr>
          <m:t>(1,116)=44.39</m:t>
        </m:r>
      </m:oMath>
      <w:r>
        <w:t xml:space="preserve">, </w:t>
      </w:r>
      <m:oMath>
        <m:r>
          <w:rPr>
            <w:rFonts w:ascii="Cambria Math" w:hAnsi="Cambria Math"/>
          </w:rPr>
          <m:t>MSE</m:t>
        </m:r>
        <m:r>
          <w:rPr>
            <w:rFonts w:ascii="Cambria Math" w:hAnsi="Cambria Math"/>
          </w:rPr>
          <m:t>=873.80</m:t>
        </m:r>
      </m:oMath>
      <w:r>
        <w:t xml:space="preserve">, </w:t>
      </w:r>
      <m:oMath>
        <m:r>
          <w:rPr>
            <w:rFonts w:ascii="Cambria Math" w:hAnsi="Cambria Math"/>
          </w:rPr>
          <m:t>p</m:t>
        </m:r>
        <m:r>
          <w:rPr>
            <w:rFonts w:ascii="Cambria Math" w:hAnsi="Cambria Math"/>
          </w:rPr>
          <m:t>&lt;.001</m:t>
        </m:r>
      </m:oMath>
      <w:r>
        <w:t xml:space="preserve">) and response (mean search slope for target absent responses: 48.04; mean search slope for target present responses: 25.78; </w:t>
      </w:r>
      <m:oMath>
        <m:r>
          <w:rPr>
            <w:rFonts w:ascii="Cambria Math" w:hAnsi="Cambria Math"/>
          </w:rPr>
          <m:t>F</m:t>
        </m:r>
        <m:r>
          <w:rPr>
            <w:rFonts w:ascii="Cambria Math" w:hAnsi="Cambria Math"/>
          </w:rPr>
          <m:t>(1,116)=17.01</m:t>
        </m:r>
      </m:oMath>
      <w:r>
        <w:t xml:space="preserve">, </w:t>
      </w:r>
      <m:oMath>
        <m:r>
          <w:rPr>
            <w:rFonts w:ascii="Cambria Math" w:hAnsi="Cambria Math"/>
          </w:rPr>
          <m:t>MSE</m:t>
        </m:r>
        <m:r>
          <w:rPr>
            <w:rFonts w:ascii="Cambria Math" w:hAnsi="Cambria Math"/>
          </w:rPr>
          <m:t>=873.80</m:t>
        </m:r>
      </m:oMath>
      <w:r>
        <w:t xml:space="preserve">, </w:t>
      </w:r>
      <m:oMath>
        <m:r>
          <w:rPr>
            <w:rFonts w:ascii="Cambria Math" w:hAnsi="Cambria Math"/>
          </w:rPr>
          <m:t>p</m:t>
        </m:r>
        <m:r>
          <w:rPr>
            <w:rFonts w:ascii="Cambria Math" w:hAnsi="Cambria Math"/>
          </w:rPr>
          <m:t>&lt;.001</m:t>
        </m:r>
      </m:oMath>
      <w:r>
        <w:t xml:space="preserve">; see Figure ). An interaction effect was also </w:t>
      </w:r>
      <w:r>
        <w:t>significant (</w:t>
      </w:r>
      <m:oMath>
        <m:r>
          <w:rPr>
            <w:rFonts w:ascii="Cambria Math" w:hAnsi="Cambria Math"/>
          </w:rPr>
          <m:t>F</m:t>
        </m:r>
        <m:r>
          <w:rPr>
            <w:rFonts w:ascii="Cambria Math" w:hAnsi="Cambria Math"/>
          </w:rPr>
          <m:t>(1,116)=8.91</m:t>
        </m:r>
      </m:oMath>
      <w:r>
        <w:t xml:space="preserve">, </w:t>
      </w:r>
      <m:oMath>
        <m:r>
          <w:rPr>
            <w:rFonts w:ascii="Cambria Math" w:hAnsi="Cambria Math"/>
          </w:rPr>
          <m:t>MSE</m:t>
        </m:r>
        <m:r>
          <w:rPr>
            <w:rFonts w:ascii="Cambria Math" w:hAnsi="Cambria Math"/>
          </w:rPr>
          <m:t>=873.80</m:t>
        </m:r>
      </m:oMath>
      <w:r>
        <w:t xml:space="preserve">, </w:t>
      </w:r>
      <m:oMath>
        <m:r>
          <w:rPr>
            <w:rFonts w:ascii="Cambria Math" w:hAnsi="Cambria Math"/>
          </w:rPr>
          <m:t>p</m:t>
        </m:r>
        <m:r>
          <w:rPr>
            <w:rFonts w:ascii="Cambria Math" w:hAnsi="Cambria Math"/>
          </w:rPr>
          <m:t>=</m:t>
        </m:r>
        <m:r>
          <w:rPr>
            <w:rFonts w:ascii="Cambria Math" w:hAnsi="Cambria Math"/>
          </w:rPr>
          <w:lastRenderedPageBreak/>
          <m:t>.003</m:t>
        </m:r>
      </m:oMath>
      <w:r>
        <w:t>). These results match previous reports of steeper search slopes for searching a circle among circles crossed by a line than for the inverse search (e.g., Treisman &amp; Souther, 1985).</w:t>
      </w:r>
    </w:p>
    <w:p w14:paraId="4169B416" w14:textId="77777777" w:rsidR="009A62BA" w:rsidRDefault="00E926AA">
      <w:pPr>
        <w:pStyle w:val="Compact"/>
      </w:pPr>
      <w:r>
        <w:t>(#tab:search_analysis)</w:t>
      </w:r>
    </w:p>
    <w:p w14:paraId="0F2E8A36" w14:textId="77777777" w:rsidR="009A62BA" w:rsidRDefault="00E926AA">
      <w:pPr>
        <w:pStyle w:val="TableCaption"/>
      </w:pPr>
      <w:r>
        <w:t>**</w:t>
      </w:r>
    </w:p>
    <w:tbl>
      <w:tblPr>
        <w:tblStyle w:val="Table"/>
        <w:tblW w:w="0" w:type="pct"/>
        <w:tblLook w:val="07E0" w:firstRow="1" w:lastRow="1" w:firstColumn="1" w:lastColumn="1" w:noHBand="1" w:noVBand="1"/>
      </w:tblPr>
      <w:tblGrid>
        <w:gridCol w:w="2054"/>
        <w:gridCol w:w="756"/>
        <w:gridCol w:w="553"/>
        <w:gridCol w:w="576"/>
        <w:gridCol w:w="876"/>
        <w:gridCol w:w="832"/>
        <w:gridCol w:w="636"/>
      </w:tblGrid>
      <w:tr w:rsidR="009A62BA" w14:paraId="5CBF1242" w14:textId="77777777" w:rsidTr="009A62BA">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0" w:space="0" w:color="auto"/>
            </w:tcBorders>
            <w:vAlign w:val="bottom"/>
          </w:tcPr>
          <w:p w14:paraId="0778E168" w14:textId="77777777" w:rsidR="009A62BA" w:rsidRDefault="00E926AA">
            <w:pPr>
              <w:pStyle w:val="Compact"/>
            </w:pPr>
            <w:r>
              <w:t>Effect</w:t>
            </w:r>
          </w:p>
        </w:tc>
        <w:tc>
          <w:tcPr>
            <w:tcW w:w="0" w:type="auto"/>
            <w:tcBorders>
              <w:bottom w:val="single" w:sz="0" w:space="0" w:color="auto"/>
            </w:tcBorders>
            <w:vAlign w:val="bottom"/>
          </w:tcPr>
          <w:p w14:paraId="436C1791" w14:textId="77777777" w:rsidR="009A62BA" w:rsidRDefault="00E926AA">
            <w:pPr>
              <w:pStyle w:val="Compact"/>
            </w:pPr>
            <m:oMathPara>
              <m:oMath>
                <m:r>
                  <w:rPr>
                    <w:rFonts w:ascii="Cambria Math" w:hAnsi="Cambria Math"/>
                  </w:rPr>
                  <m:t>F</m:t>
                </m:r>
              </m:oMath>
            </m:oMathPara>
          </w:p>
        </w:tc>
        <w:tc>
          <w:tcPr>
            <w:tcW w:w="0" w:type="auto"/>
            <w:tcBorders>
              <w:bottom w:val="single" w:sz="0" w:space="0" w:color="auto"/>
            </w:tcBorders>
            <w:vAlign w:val="bottom"/>
          </w:tcPr>
          <w:p w14:paraId="24D0E5C7" w14:textId="77777777" w:rsidR="009A62BA" w:rsidRDefault="00E926AA">
            <w:pPr>
              <w:pStyle w:val="Compact"/>
            </w:pPr>
            <m:oMathPara>
              <m:oMath>
                <m:sSub>
                  <m:sSubPr>
                    <m:ctrlPr>
                      <w:rPr>
                        <w:rFonts w:ascii="Cambria Math" w:hAnsi="Cambria Math"/>
                      </w:rPr>
                    </m:ctrlPr>
                  </m:sSubPr>
                  <m:e>
                    <m:r>
                      <w:rPr>
                        <w:rFonts w:ascii="Cambria Math" w:hAnsi="Cambria Math"/>
                      </w:rPr>
                      <m:t>df</m:t>
                    </m:r>
                  </m:e>
                  <m:sub>
                    <m:r>
                      <w:rPr>
                        <w:rFonts w:ascii="Cambria Math" w:hAnsi="Cambria Math"/>
                      </w:rPr>
                      <m:t>1</m:t>
                    </m:r>
                  </m:sub>
                </m:sSub>
              </m:oMath>
            </m:oMathPara>
          </w:p>
        </w:tc>
        <w:tc>
          <w:tcPr>
            <w:tcW w:w="0" w:type="auto"/>
            <w:tcBorders>
              <w:bottom w:val="single" w:sz="0" w:space="0" w:color="auto"/>
            </w:tcBorders>
            <w:vAlign w:val="bottom"/>
          </w:tcPr>
          <w:p w14:paraId="7D0BBD6F" w14:textId="77777777" w:rsidR="009A62BA" w:rsidRDefault="00E926AA">
            <w:pPr>
              <w:pStyle w:val="Compact"/>
            </w:pPr>
            <m:oMathPara>
              <m:oMath>
                <m:sSub>
                  <m:sSubPr>
                    <m:ctrlPr>
                      <w:rPr>
                        <w:rFonts w:ascii="Cambria Math" w:hAnsi="Cambria Math"/>
                      </w:rPr>
                    </m:ctrlPr>
                  </m:sSubPr>
                  <m:e>
                    <m:r>
                      <w:rPr>
                        <w:rFonts w:ascii="Cambria Math" w:hAnsi="Cambria Math"/>
                      </w:rPr>
                      <m:t>df</m:t>
                    </m:r>
                  </m:e>
                  <m:sub>
                    <m:r>
                      <w:rPr>
                        <w:rFonts w:ascii="Cambria Math" w:hAnsi="Cambria Math"/>
                      </w:rPr>
                      <m:t>2</m:t>
                    </m:r>
                  </m:sub>
                </m:sSub>
              </m:oMath>
            </m:oMathPara>
          </w:p>
        </w:tc>
        <w:tc>
          <w:tcPr>
            <w:tcW w:w="0" w:type="auto"/>
            <w:tcBorders>
              <w:bottom w:val="single" w:sz="0" w:space="0" w:color="auto"/>
            </w:tcBorders>
            <w:vAlign w:val="bottom"/>
          </w:tcPr>
          <w:p w14:paraId="466F49BA" w14:textId="77777777" w:rsidR="009A62BA" w:rsidRDefault="00E926AA">
            <w:pPr>
              <w:pStyle w:val="Compact"/>
            </w:pPr>
            <m:oMathPara>
              <m:oMath>
                <m:r>
                  <w:rPr>
                    <w:rFonts w:ascii="Cambria Math" w:hAnsi="Cambria Math"/>
                  </w:rPr>
                  <m:t>MSE</m:t>
                </m:r>
              </m:oMath>
            </m:oMathPara>
          </w:p>
        </w:tc>
        <w:tc>
          <w:tcPr>
            <w:tcW w:w="0" w:type="auto"/>
            <w:tcBorders>
              <w:bottom w:val="single" w:sz="0" w:space="0" w:color="auto"/>
            </w:tcBorders>
            <w:vAlign w:val="bottom"/>
          </w:tcPr>
          <w:p w14:paraId="366C4EE5" w14:textId="77777777" w:rsidR="009A62BA" w:rsidRDefault="00E926AA">
            <w:pPr>
              <w:pStyle w:val="Compact"/>
            </w:pPr>
            <m:oMathPara>
              <m:oMath>
                <m:r>
                  <w:rPr>
                    <w:rFonts w:ascii="Cambria Math" w:hAnsi="Cambria Math"/>
                  </w:rPr>
                  <m:t>p</m:t>
                </m:r>
              </m:oMath>
            </m:oMathPara>
          </w:p>
        </w:tc>
        <w:tc>
          <w:tcPr>
            <w:tcW w:w="0" w:type="auto"/>
            <w:tcBorders>
              <w:bottom w:val="single" w:sz="0" w:space="0" w:color="auto"/>
            </w:tcBorders>
            <w:vAlign w:val="bottom"/>
          </w:tcPr>
          <w:p w14:paraId="741B775D" w14:textId="77777777" w:rsidR="009A62BA" w:rsidRDefault="00E926AA">
            <w:pPr>
              <w:pStyle w:val="Compac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η</m:t>
                        </m:r>
                      </m:e>
                    </m:acc>
                  </m:e>
                  <m:sub>
                    <m:r>
                      <w:rPr>
                        <w:rFonts w:ascii="Cambria Math" w:hAnsi="Cambria Math"/>
                      </w:rPr>
                      <m:t>G</m:t>
                    </m:r>
                  </m:sub>
                  <m:sup>
                    <m:r>
                      <w:rPr>
                        <w:rFonts w:ascii="Cambria Math" w:hAnsi="Cambria Math"/>
                      </w:rPr>
                      <m:t>2</m:t>
                    </m:r>
                  </m:sup>
                </m:sSubSup>
              </m:oMath>
            </m:oMathPara>
          </w:p>
        </w:tc>
      </w:tr>
      <w:tr w:rsidR="009A62BA" w14:paraId="0D675996" w14:textId="77777777">
        <w:tc>
          <w:tcPr>
            <w:tcW w:w="0" w:type="auto"/>
          </w:tcPr>
          <w:p w14:paraId="292C6856" w14:textId="77777777" w:rsidR="009A62BA" w:rsidRDefault="00E926AA">
            <w:pPr>
              <w:pStyle w:val="Compact"/>
            </w:pPr>
            <w:r>
              <w:t>Target</w:t>
            </w:r>
          </w:p>
        </w:tc>
        <w:tc>
          <w:tcPr>
            <w:tcW w:w="0" w:type="auto"/>
          </w:tcPr>
          <w:p w14:paraId="27AB7679" w14:textId="77777777" w:rsidR="009A62BA" w:rsidRDefault="00E926AA">
            <w:pPr>
              <w:pStyle w:val="Compact"/>
            </w:pPr>
            <w:r>
              <w:t>44.39</w:t>
            </w:r>
          </w:p>
        </w:tc>
        <w:tc>
          <w:tcPr>
            <w:tcW w:w="0" w:type="auto"/>
          </w:tcPr>
          <w:p w14:paraId="77ECC184" w14:textId="77777777" w:rsidR="009A62BA" w:rsidRDefault="00E926AA">
            <w:pPr>
              <w:pStyle w:val="Compact"/>
            </w:pPr>
            <w:r>
              <w:t>1</w:t>
            </w:r>
          </w:p>
        </w:tc>
        <w:tc>
          <w:tcPr>
            <w:tcW w:w="0" w:type="auto"/>
          </w:tcPr>
          <w:p w14:paraId="50C8E2AF" w14:textId="77777777" w:rsidR="009A62BA" w:rsidRDefault="00E926AA">
            <w:pPr>
              <w:pStyle w:val="Compact"/>
            </w:pPr>
            <w:r>
              <w:t>116</w:t>
            </w:r>
          </w:p>
        </w:tc>
        <w:tc>
          <w:tcPr>
            <w:tcW w:w="0" w:type="auto"/>
          </w:tcPr>
          <w:p w14:paraId="45AD259F" w14:textId="77777777" w:rsidR="009A62BA" w:rsidRDefault="00E926AA">
            <w:pPr>
              <w:pStyle w:val="Compact"/>
            </w:pPr>
            <w:r>
              <w:t>873.80</w:t>
            </w:r>
          </w:p>
        </w:tc>
        <w:tc>
          <w:tcPr>
            <w:tcW w:w="0" w:type="auto"/>
          </w:tcPr>
          <w:p w14:paraId="1E891AA2" w14:textId="77777777" w:rsidR="009A62BA" w:rsidRDefault="00E926AA">
            <w:pPr>
              <w:pStyle w:val="Compact"/>
            </w:pPr>
            <w:r>
              <w:t>&lt; .001</w:t>
            </w:r>
          </w:p>
        </w:tc>
        <w:tc>
          <w:tcPr>
            <w:tcW w:w="0" w:type="auto"/>
          </w:tcPr>
          <w:p w14:paraId="0CCF727A" w14:textId="77777777" w:rsidR="009A62BA" w:rsidRDefault="00E926AA">
            <w:pPr>
              <w:pStyle w:val="Compact"/>
            </w:pPr>
            <w:r>
              <w:t>.277</w:t>
            </w:r>
          </w:p>
        </w:tc>
      </w:tr>
      <w:tr w:rsidR="009A62BA" w14:paraId="2EBB98AD" w14:textId="77777777">
        <w:tc>
          <w:tcPr>
            <w:tcW w:w="0" w:type="auto"/>
          </w:tcPr>
          <w:p w14:paraId="50E489DC" w14:textId="77777777" w:rsidR="009A62BA" w:rsidRDefault="00E926AA">
            <w:pPr>
              <w:pStyle w:val="Compact"/>
            </w:pPr>
            <w:r>
              <w:t>Response</w:t>
            </w:r>
          </w:p>
        </w:tc>
        <w:tc>
          <w:tcPr>
            <w:tcW w:w="0" w:type="auto"/>
          </w:tcPr>
          <w:p w14:paraId="6A89A9DE" w14:textId="77777777" w:rsidR="009A62BA" w:rsidRDefault="00E926AA">
            <w:pPr>
              <w:pStyle w:val="Compact"/>
            </w:pPr>
            <w:r>
              <w:t>17.01</w:t>
            </w:r>
          </w:p>
        </w:tc>
        <w:tc>
          <w:tcPr>
            <w:tcW w:w="0" w:type="auto"/>
          </w:tcPr>
          <w:p w14:paraId="3E468789" w14:textId="77777777" w:rsidR="009A62BA" w:rsidRDefault="00E926AA">
            <w:pPr>
              <w:pStyle w:val="Compact"/>
            </w:pPr>
            <w:r>
              <w:t>1</w:t>
            </w:r>
          </w:p>
        </w:tc>
        <w:tc>
          <w:tcPr>
            <w:tcW w:w="0" w:type="auto"/>
          </w:tcPr>
          <w:p w14:paraId="32CA5D19" w14:textId="77777777" w:rsidR="009A62BA" w:rsidRDefault="00E926AA">
            <w:pPr>
              <w:pStyle w:val="Compact"/>
            </w:pPr>
            <w:r>
              <w:t>116</w:t>
            </w:r>
          </w:p>
        </w:tc>
        <w:tc>
          <w:tcPr>
            <w:tcW w:w="0" w:type="auto"/>
          </w:tcPr>
          <w:p w14:paraId="1862691E" w14:textId="77777777" w:rsidR="009A62BA" w:rsidRDefault="00E926AA">
            <w:pPr>
              <w:pStyle w:val="Compact"/>
            </w:pPr>
            <w:r>
              <w:t>873.80</w:t>
            </w:r>
          </w:p>
        </w:tc>
        <w:tc>
          <w:tcPr>
            <w:tcW w:w="0" w:type="auto"/>
          </w:tcPr>
          <w:p w14:paraId="12675FFE" w14:textId="77777777" w:rsidR="009A62BA" w:rsidRDefault="00E926AA">
            <w:pPr>
              <w:pStyle w:val="Compact"/>
            </w:pPr>
            <w:r>
              <w:t>&lt; .001</w:t>
            </w:r>
          </w:p>
        </w:tc>
        <w:tc>
          <w:tcPr>
            <w:tcW w:w="0" w:type="auto"/>
          </w:tcPr>
          <w:p w14:paraId="22DA60AD" w14:textId="77777777" w:rsidR="009A62BA" w:rsidRDefault="00E926AA">
            <w:pPr>
              <w:pStyle w:val="Compact"/>
            </w:pPr>
            <w:r>
              <w:t>.128</w:t>
            </w:r>
          </w:p>
        </w:tc>
      </w:tr>
      <w:tr w:rsidR="009A62BA" w14:paraId="2ED3C2BB" w14:textId="77777777">
        <w:trPr>
          <w:cnfStyle w:val="010000000000" w:firstRow="0" w:lastRow="1" w:firstColumn="0" w:lastColumn="0" w:oddVBand="0" w:evenVBand="0" w:oddHBand="0" w:evenHBand="0" w:firstRowFirstColumn="0" w:firstRowLastColumn="0" w:lastRowFirstColumn="0" w:lastRowLastColumn="0"/>
        </w:trPr>
        <w:tc>
          <w:tcPr>
            <w:tcW w:w="0" w:type="auto"/>
          </w:tcPr>
          <w:p w14:paraId="6DDCF7CA" w14:textId="77777777" w:rsidR="009A62BA" w:rsidRDefault="00E926AA">
            <w:pPr>
              <w:pStyle w:val="Compact"/>
            </w:pPr>
            <w:r>
              <w:t xml:space="preserve">Target </w:t>
            </w:r>
            <m:oMath>
              <m:r>
                <w:rPr>
                  <w:rFonts w:ascii="Cambria Math" w:hAnsi="Cambria Math"/>
                </w:rPr>
                <m:t>×</m:t>
              </m:r>
            </m:oMath>
            <w:r>
              <w:t xml:space="preserve"> Response</w:t>
            </w:r>
          </w:p>
        </w:tc>
        <w:tc>
          <w:tcPr>
            <w:tcW w:w="0" w:type="auto"/>
          </w:tcPr>
          <w:p w14:paraId="511B0382" w14:textId="77777777" w:rsidR="009A62BA" w:rsidRDefault="00E926AA">
            <w:pPr>
              <w:pStyle w:val="Compact"/>
            </w:pPr>
            <w:r>
              <w:t>8.91</w:t>
            </w:r>
          </w:p>
        </w:tc>
        <w:tc>
          <w:tcPr>
            <w:tcW w:w="0" w:type="auto"/>
          </w:tcPr>
          <w:p w14:paraId="14626746" w14:textId="77777777" w:rsidR="009A62BA" w:rsidRDefault="00E926AA">
            <w:pPr>
              <w:pStyle w:val="Compact"/>
            </w:pPr>
            <w:r>
              <w:t>1</w:t>
            </w:r>
          </w:p>
        </w:tc>
        <w:tc>
          <w:tcPr>
            <w:tcW w:w="0" w:type="auto"/>
          </w:tcPr>
          <w:p w14:paraId="1E20A220" w14:textId="77777777" w:rsidR="009A62BA" w:rsidRDefault="00E926AA">
            <w:pPr>
              <w:pStyle w:val="Compact"/>
            </w:pPr>
            <w:r>
              <w:t>116</w:t>
            </w:r>
          </w:p>
        </w:tc>
        <w:tc>
          <w:tcPr>
            <w:tcW w:w="0" w:type="auto"/>
          </w:tcPr>
          <w:p w14:paraId="64F87A38" w14:textId="77777777" w:rsidR="009A62BA" w:rsidRDefault="00E926AA">
            <w:pPr>
              <w:pStyle w:val="Compact"/>
            </w:pPr>
            <w:r>
              <w:t>873.80</w:t>
            </w:r>
          </w:p>
        </w:tc>
        <w:tc>
          <w:tcPr>
            <w:tcW w:w="0" w:type="auto"/>
          </w:tcPr>
          <w:p w14:paraId="2B7592F5" w14:textId="77777777" w:rsidR="009A62BA" w:rsidRDefault="00E926AA">
            <w:pPr>
              <w:pStyle w:val="Compact"/>
            </w:pPr>
            <w:r>
              <w:t>.003</w:t>
            </w:r>
          </w:p>
        </w:tc>
        <w:tc>
          <w:tcPr>
            <w:tcW w:w="0" w:type="auto"/>
          </w:tcPr>
          <w:p w14:paraId="589387F6" w14:textId="77777777" w:rsidR="009A62BA" w:rsidRDefault="00E926AA">
            <w:pPr>
              <w:pStyle w:val="Compact"/>
            </w:pPr>
            <w:r>
              <w:t>.071</w:t>
            </w:r>
          </w:p>
        </w:tc>
      </w:tr>
    </w:tbl>
    <w:p w14:paraId="0CE25C06" w14:textId="77777777" w:rsidR="009A62BA" w:rsidRDefault="00E926AA">
      <w:pPr>
        <w:pStyle w:val="CaptionedFigure"/>
      </w:pPr>
      <w:r>
        <w:rPr>
          <w:noProof/>
          <w:lang w:bidi="he-IL"/>
        </w:rPr>
        <w:drawing>
          <wp:inline distT="0" distB="0" distL="0" distR="0" wp14:anchorId="036478A2" wp14:editId="407495A0">
            <wp:extent cx="4587290" cy="3669832"/>
            <wp:effectExtent l="0" t="0" r="0" b="0"/>
            <wp:docPr id="4" name="Picture" descr="Figure 1:.  A: Median search time by distractor set size for the two search tasks and two responses. Correct responses only. Error bars represent the standard error of the median. B: mean search slope per target (Q or O) and response (present or absent). Error bars represent the standard error of the mean."/>
            <wp:cNvGraphicFramePr/>
            <a:graphic xmlns:a="http://schemas.openxmlformats.org/drawingml/2006/main">
              <a:graphicData uri="http://schemas.openxmlformats.org/drawingml/2006/picture">
                <pic:pic xmlns:pic="http://schemas.openxmlformats.org/drawingml/2006/picture">
                  <pic:nvPicPr>
                    <pic:cNvPr id="0" name="Picture" descr="asymmetry_files/figure-docx/RT-pilot-1.png"/>
                    <pic:cNvPicPr>
                      <a:picLocks noChangeAspect="1" noChangeArrowheads="1"/>
                    </pic:cNvPicPr>
                  </pic:nvPicPr>
                  <pic:blipFill>
                    <a:blip r:embed="rId24"/>
                    <a:stretch>
                      <a:fillRect/>
                    </a:stretch>
                  </pic:blipFill>
                  <pic:spPr bwMode="auto">
                    <a:xfrm>
                      <a:off x="0" y="0"/>
                      <a:ext cx="4587290" cy="3669832"/>
                    </a:xfrm>
                    <a:prstGeom prst="rect">
                      <a:avLst/>
                    </a:prstGeom>
                    <a:noFill/>
                    <a:ln w="9525">
                      <a:noFill/>
                      <a:headEnd/>
                      <a:tailEnd/>
                    </a:ln>
                  </pic:spPr>
                </pic:pic>
              </a:graphicData>
            </a:graphic>
          </wp:inline>
        </w:drawing>
      </w:r>
    </w:p>
    <w:p w14:paraId="62F10EB8" w14:textId="77777777" w:rsidR="009A62BA" w:rsidRDefault="00E926AA">
      <w:pPr>
        <w:pStyle w:val="ImageCaption"/>
      </w:pPr>
      <w:r>
        <w:rPr>
          <w:i/>
        </w:rPr>
        <w:t>Figure</w:t>
      </w:r>
      <w:r>
        <w:t xml:space="preserve"> </w:t>
      </w:r>
      <w:r>
        <w:rPr>
          <w:i/>
        </w:rPr>
        <w:t>1:</w:t>
      </w:r>
      <w:r>
        <w:t xml:space="preserve">.  A: Median search time by distractor set size for the two search tasks and two responses. Correct responses only. Error bars represent the standard error of the median. B: mean </w:t>
      </w:r>
      <w:r>
        <w:lastRenderedPageBreak/>
        <w:t>search slope per target (Q or O) and response (present or absent). Error bars</w:t>
      </w:r>
      <w:r>
        <w:t xml:space="preserve"> represent the standard error of the mean.</w:t>
      </w:r>
    </w:p>
    <w:p w14:paraId="54CEA00E" w14:textId="77777777" w:rsidR="009A62BA" w:rsidRDefault="00E926AA">
      <w:pPr>
        <w:pStyle w:val="Heading2"/>
      </w:pPr>
      <w:bookmarkStart w:id="65" w:name="Xd519d9a14d874bacdd469fa80e7b416668ee75e"/>
      <w:r>
        <w:t>Discrimination task: metacognitive asymmetry</w:t>
      </w:r>
      <w:bookmarkEnd w:id="65"/>
    </w:p>
    <w:p w14:paraId="15DF128E" w14:textId="77777777" w:rsidR="009A62BA" w:rsidRDefault="00E926AA">
      <w:pPr>
        <w:pStyle w:val="FirstParagraph"/>
      </w:pPr>
      <w:r>
        <w:t>Mean accuracy in the discrimination task was 0.81 (</w:t>
      </w:r>
      <m:oMath>
        <m:r>
          <w:rPr>
            <w:rFonts w:ascii="Cambria Math" w:hAnsi="Cambria Math"/>
          </w:rPr>
          <m:t>M</m:t>
        </m:r>
        <m:r>
          <w:rPr>
            <w:rFonts w:ascii="Cambria Math" w:hAnsi="Cambria Math"/>
          </w:rPr>
          <m:t>=0.81</m:t>
        </m:r>
      </m:oMath>
      <w:r>
        <w:t xml:space="preserve">, 95% CI </w:t>
      </w:r>
      <m:oMath>
        <m:r>
          <w:rPr>
            <w:rFonts w:ascii="Cambria Math" w:hAnsi="Cambria Math"/>
          </w:rPr>
          <m:t>[0.77</m:t>
        </m:r>
      </m:oMath>
      <w:r>
        <w:t xml:space="preserve">, </w:t>
      </w:r>
      <m:oMath>
        <m:r>
          <w:rPr>
            <w:rFonts w:ascii="Cambria Math" w:hAnsi="Cambria Math"/>
          </w:rPr>
          <m:t>0.84]</m:t>
        </m:r>
      </m:oMath>
      <w:r>
        <w:t>). Participants showed no consistent bias in their responses (</w:t>
      </w:r>
      <m:oMath>
        <m:r>
          <w:rPr>
            <w:rFonts w:ascii="Cambria Math" w:hAnsi="Cambria Math"/>
          </w:rPr>
          <m:t>M</m:t>
        </m:r>
        <m:r>
          <w:rPr>
            <w:rFonts w:ascii="Cambria Math" w:hAnsi="Cambria Math"/>
          </w:rPr>
          <m:t>=0.53</m:t>
        </m:r>
      </m:oMath>
      <w:r>
        <w:t xml:space="preserve">, 95% CI </w:t>
      </w:r>
      <m:oMath>
        <m:r>
          <w:rPr>
            <w:rFonts w:ascii="Cambria Math" w:hAnsi="Cambria Math"/>
          </w:rPr>
          <m:t>[0.48</m:t>
        </m:r>
      </m:oMath>
      <w:r>
        <w:t xml:space="preserve">, </w:t>
      </w:r>
      <m:oMath>
        <m:r>
          <w:rPr>
            <w:rFonts w:ascii="Cambria Math" w:hAnsi="Cambria Math"/>
          </w:rPr>
          <m:t>0.57</m:t>
        </m:r>
        <m:r>
          <w:rPr>
            <w:rFonts w:ascii="Cambria Math" w:hAnsi="Cambria Math"/>
          </w:rPr>
          <m:t>]</m:t>
        </m:r>
      </m:oMath>
      <w:r>
        <w:t>). On a scale of 0 to 1, mean confidence level was 0.56 (</w:t>
      </w:r>
      <m:oMath>
        <m:r>
          <w:rPr>
            <w:rFonts w:ascii="Cambria Math" w:hAnsi="Cambria Math"/>
          </w:rPr>
          <m:t>M</m:t>
        </m:r>
        <m:r>
          <w:rPr>
            <w:rFonts w:ascii="Cambria Math" w:hAnsi="Cambria Math"/>
          </w:rPr>
          <m:t>=0.56</m:t>
        </m:r>
      </m:oMath>
      <w:r>
        <w:t xml:space="preserve">, 95% CI </w:t>
      </w:r>
      <m:oMath>
        <m:r>
          <w:rPr>
            <w:rFonts w:ascii="Cambria Math" w:hAnsi="Cambria Math"/>
          </w:rPr>
          <m:t>[0.47</m:t>
        </m:r>
      </m:oMath>
      <w:r>
        <w:t xml:space="preserve">, </w:t>
      </w:r>
      <m:oMath>
        <m:r>
          <w:rPr>
            <w:rFonts w:ascii="Cambria Math" w:hAnsi="Cambria Math"/>
          </w:rPr>
          <m:t>0.64]</m:t>
        </m:r>
      </m:oMath>
      <w:r>
        <w:t>). Confidence was higher for correct than for incorrect responses (</w:t>
      </w:r>
      <m:oMath>
        <m:sSub>
          <m:sSubPr>
            <m:ctrlPr>
              <w:rPr>
                <w:rFonts w:ascii="Cambria Math" w:hAnsi="Cambria Math"/>
              </w:rPr>
            </m:ctrlPr>
          </m:sSubPr>
          <m:e>
            <m:r>
              <w:rPr>
                <w:rFonts w:ascii="Cambria Math" w:hAnsi="Cambria Math"/>
              </w:rPr>
              <m:t>M</m:t>
            </m:r>
          </m:e>
          <m:sub>
            <m:r>
              <w:rPr>
                <w:rFonts w:ascii="Cambria Math" w:hAnsi="Cambria Math"/>
              </w:rPr>
              <m:t>d</m:t>
            </m:r>
          </m:sub>
        </m:sSub>
        <m:r>
          <w:rPr>
            <w:rFonts w:ascii="Cambria Math" w:hAnsi="Cambria Math"/>
          </w:rPr>
          <m:t>=0.15</m:t>
        </m:r>
      </m:oMath>
      <w:r>
        <w:t xml:space="preserve">, 95% CI </w:t>
      </w:r>
      <m:oMath>
        <m:r>
          <w:rPr>
            <w:rFonts w:ascii="Cambria Math" w:hAnsi="Cambria Math"/>
          </w:rPr>
          <m:t>[0.09</m:t>
        </m:r>
      </m:oMath>
      <w:r>
        <w:t xml:space="preserve">, </w:t>
      </w:r>
      <m:oMath>
        <m:r>
          <w:rPr>
            <w:rFonts w:ascii="Cambria Math" w:hAnsi="Cambria Math"/>
          </w:rPr>
          <m:t>0.21]</m:t>
        </m:r>
      </m:oMath>
      <w:r>
        <w:t xml:space="preserve">, </w:t>
      </w:r>
      <m:oMath>
        <m:r>
          <w:rPr>
            <w:rFonts w:ascii="Cambria Math" w:hAnsi="Cambria Math"/>
          </w:rPr>
          <m:t>t</m:t>
        </m:r>
        <m:r>
          <w:rPr>
            <w:rFonts w:ascii="Cambria Math" w:hAnsi="Cambria Math"/>
          </w:rPr>
          <m:t>(29)=5.24</m:t>
        </m:r>
      </m:oMath>
      <w:r>
        <w:t xml:space="preserve">, </w:t>
      </w:r>
      <m:oMath>
        <m:r>
          <w:rPr>
            <w:rFonts w:ascii="Cambria Math" w:hAnsi="Cambria Math"/>
          </w:rPr>
          <m:t>p</m:t>
        </m:r>
        <m:r>
          <w:rPr>
            <w:rFonts w:ascii="Cambria Math" w:hAnsi="Cambria Math"/>
          </w:rPr>
          <m:t>&lt;.001</m:t>
        </m:r>
      </m:oMath>
      <w:r>
        <w:t>).</w:t>
      </w:r>
    </w:p>
    <w:p w14:paraId="29D7806B" w14:textId="77777777" w:rsidR="009A62BA" w:rsidRDefault="00E926AA">
      <w:pPr>
        <w:pStyle w:val="BodyText"/>
      </w:pPr>
      <w:r>
        <w:rPr>
          <w:i/>
        </w:rPr>
        <w:t>Q</w:t>
      </w:r>
      <w:r>
        <w:t xml:space="preserve"> responses were similar to detection ‘stimulus </w:t>
      </w:r>
      <w:r>
        <w:t xml:space="preserve">presence’ responses in several ways. First, response times were faster for </w:t>
      </w:r>
      <w:r>
        <w:rPr>
          <w:i/>
        </w:rPr>
        <w:t>Q</w:t>
      </w:r>
      <w:r>
        <w:t xml:space="preserve"> than for </w:t>
      </w:r>
      <w:r>
        <w:rPr>
          <w:i/>
        </w:rPr>
        <w:t>O</w:t>
      </w:r>
      <w:r>
        <w:t xml:space="preserve"> responses (</w:t>
      </w:r>
      <m:oMath>
        <m:sSub>
          <m:sSubPr>
            <m:ctrlPr>
              <w:rPr>
                <w:rFonts w:ascii="Cambria Math" w:hAnsi="Cambria Math"/>
              </w:rPr>
            </m:ctrlPr>
          </m:sSubPr>
          <m:e>
            <m:r>
              <w:rPr>
                <w:rFonts w:ascii="Cambria Math" w:hAnsi="Cambria Math"/>
              </w:rPr>
              <m:t>M</m:t>
            </m:r>
          </m:e>
          <m:sub>
            <m:r>
              <w:rPr>
                <w:rFonts w:ascii="Cambria Math" w:hAnsi="Cambria Math"/>
              </w:rPr>
              <m:t>d</m:t>
            </m:r>
          </m:sub>
        </m:sSub>
        <m:r>
          <w:rPr>
            <w:rFonts w:ascii="Cambria Math" w:hAnsi="Cambria Math"/>
          </w:rPr>
          <m:t>=-149.38</m:t>
        </m:r>
      </m:oMath>
      <w:r>
        <w:t xml:space="preserve">, 95% CI </w:t>
      </w:r>
      <m:oMath>
        <m:r>
          <w:rPr>
            <w:rFonts w:ascii="Cambria Math" w:hAnsi="Cambria Math"/>
          </w:rPr>
          <m:t>[-241.39</m:t>
        </m:r>
      </m:oMath>
      <w:r>
        <w:t xml:space="preserve">, </w:t>
      </w:r>
      <m:oMath>
        <m:r>
          <w:rPr>
            <w:rFonts w:ascii="Cambria Math" w:hAnsi="Cambria Math"/>
          </w:rPr>
          <m:t>-</m:t>
        </m:r>
        <m:r>
          <w:rPr>
            <w:rFonts w:ascii="Cambria Math" w:hAnsi="Cambria Math"/>
          </w:rPr>
          <m:t>57.38]</m:t>
        </m:r>
      </m:oMath>
      <w:r>
        <w:t xml:space="preserve">, </w:t>
      </w:r>
      <m:oMath>
        <m:r>
          <w:rPr>
            <w:rFonts w:ascii="Cambria Math" w:hAnsi="Cambria Math"/>
          </w:rPr>
          <m:t>t</m:t>
        </m:r>
        <m:r>
          <w:rPr>
            <w:rFonts w:ascii="Cambria Math" w:hAnsi="Cambria Math"/>
          </w:rPr>
          <m:t>(29)=-3.32</m:t>
        </m:r>
      </m:oMath>
      <w:r>
        <w:t xml:space="preserve">, </w:t>
      </w:r>
      <m:oMath>
        <m:r>
          <w:rPr>
            <w:rFonts w:ascii="Cambria Math" w:hAnsi="Cambria Math"/>
          </w:rPr>
          <m:t>p</m:t>
        </m:r>
        <m:r>
          <w:rPr>
            <w:rFonts w:ascii="Cambria Math" w:hAnsi="Cambria Math"/>
          </w:rPr>
          <m:t>=.002</m:t>
        </m:r>
      </m:oMath>
      <w:r>
        <w:t xml:space="preserve">). Second, confidence was generally higher for </w:t>
      </w:r>
      <w:r>
        <w:rPr>
          <w:i/>
        </w:rPr>
        <w:t>Q</w:t>
      </w:r>
      <w:r>
        <w:t xml:space="preserve"> responses (</w:t>
      </w:r>
      <m:oMath>
        <m:sSub>
          <m:sSubPr>
            <m:ctrlPr>
              <w:rPr>
                <w:rFonts w:ascii="Cambria Math" w:hAnsi="Cambria Math"/>
              </w:rPr>
            </m:ctrlPr>
          </m:sSubPr>
          <m:e>
            <m:r>
              <w:rPr>
                <w:rFonts w:ascii="Cambria Math" w:hAnsi="Cambria Math"/>
              </w:rPr>
              <m:t>M</m:t>
            </m:r>
          </m:e>
          <m:sub>
            <m:r>
              <w:rPr>
                <w:rFonts w:ascii="Cambria Math" w:hAnsi="Cambria Math"/>
              </w:rPr>
              <m:t>d</m:t>
            </m:r>
          </m:sub>
        </m:sSub>
        <m:r>
          <w:rPr>
            <w:rFonts w:ascii="Cambria Math" w:hAnsi="Cambria Math"/>
          </w:rPr>
          <m:t>=0.10</m:t>
        </m:r>
      </m:oMath>
      <w:r>
        <w:t xml:space="preserve">, 95% CI </w:t>
      </w:r>
      <m:oMath>
        <m:r>
          <w:rPr>
            <w:rFonts w:ascii="Cambria Math" w:hAnsi="Cambria Math"/>
          </w:rPr>
          <m:t>[0.05</m:t>
        </m:r>
      </m:oMath>
      <w:r>
        <w:t xml:space="preserve">, </w:t>
      </w:r>
      <m:oMath>
        <m:r>
          <w:rPr>
            <w:rFonts w:ascii="Cambria Math" w:hAnsi="Cambria Math"/>
          </w:rPr>
          <m:t>0.16]</m:t>
        </m:r>
      </m:oMath>
      <w:r>
        <w:t xml:space="preserve">, </w:t>
      </w:r>
      <m:oMath>
        <m:r>
          <w:rPr>
            <w:rFonts w:ascii="Cambria Math" w:hAnsi="Cambria Math"/>
          </w:rPr>
          <m:t>t</m:t>
        </m:r>
        <m:r>
          <w:rPr>
            <w:rFonts w:ascii="Cambria Math" w:hAnsi="Cambria Math"/>
          </w:rPr>
          <m:t>(2</m:t>
        </m:r>
        <m:r>
          <w:rPr>
            <w:rFonts w:ascii="Cambria Math" w:hAnsi="Cambria Math"/>
          </w:rPr>
          <m:t>9)=3.63</m:t>
        </m:r>
      </m:oMath>
      <w:r>
        <w:t xml:space="preserve">, </w:t>
      </w:r>
      <m:oMath>
        <m:r>
          <w:rPr>
            <w:rFonts w:ascii="Cambria Math" w:hAnsi="Cambria Math"/>
          </w:rPr>
          <m:t>p</m:t>
        </m:r>
        <m:r>
          <w:rPr>
            <w:rFonts w:ascii="Cambria Math" w:hAnsi="Cambria Math"/>
          </w:rPr>
          <m:t>=.001</m:t>
        </m:r>
      </m:oMath>
      <w:r>
        <w:t>). Lastly, in order to measure metacognitive asymmetry, we extracted the response-conditional type-2 ROC (rc-ROC) curves for the two responses (</w:t>
      </w:r>
      <w:r>
        <w:rPr>
          <w:i/>
        </w:rPr>
        <w:t>Q</w:t>
      </w:r>
      <w:r>
        <w:t xml:space="preserve"> and </w:t>
      </w:r>
      <w:r>
        <w:rPr>
          <w:i/>
        </w:rPr>
        <w:t>O</w:t>
      </w:r>
      <w:r>
        <w:t>) in the discrimination task. This was done by plotting the cumulative distribution of co</w:t>
      </w:r>
      <w:r>
        <w:t>nfidence ratings (high to low) for correct responses against the same distribution for incorrect responses. The area under the rc-ROC curve (auROC) was then taken as a measure of metacognitive sensitivity (Kanai et al., 2010; Meuwese et al., 2014). This an</w:t>
      </w:r>
      <w:r>
        <w:t>alysis was available only for those participats that had at least one of each error type (</w:t>
      </w:r>
      <w:r>
        <w:rPr>
          <w:i/>
        </w:rPr>
        <w:t>Q</w:t>
      </w:r>
      <w:r>
        <w:t xml:space="preserve"> miskaen for </w:t>
      </w:r>
      <w:r>
        <w:rPr>
          <w:i/>
        </w:rPr>
        <w:t>O</w:t>
      </w:r>
      <w:r>
        <w:t xml:space="preserve"> and vice versa). Indeed, auAUC for </w:t>
      </w:r>
      <w:r>
        <w:rPr>
          <w:i/>
        </w:rPr>
        <w:t>Q</w:t>
      </w:r>
      <w:r>
        <w:t xml:space="preserve"> responses (</w:t>
      </w:r>
      <m:oMath>
        <m:r>
          <w:rPr>
            <w:rFonts w:ascii="Cambria Math" w:hAnsi="Cambria Math"/>
          </w:rPr>
          <m:t>M</m:t>
        </m:r>
        <m:r>
          <w:rPr>
            <w:rFonts w:ascii="Cambria Math" w:hAnsi="Cambria Math"/>
          </w:rPr>
          <m:t>=0.67</m:t>
        </m:r>
      </m:oMath>
      <w:r>
        <w:t xml:space="preserve">, 95% CI </w:t>
      </w:r>
      <m:oMath>
        <m:r>
          <w:rPr>
            <w:rFonts w:ascii="Cambria Math" w:hAnsi="Cambria Math"/>
          </w:rPr>
          <m:t>[0.61</m:t>
        </m:r>
      </m:oMath>
      <w:r>
        <w:t xml:space="preserve">, </w:t>
      </w:r>
      <m:oMath>
        <m:r>
          <w:rPr>
            <w:rFonts w:ascii="Cambria Math" w:hAnsi="Cambria Math"/>
          </w:rPr>
          <m:t>0.74]</m:t>
        </m:r>
      </m:oMath>
      <w:r>
        <w:t xml:space="preserve">) was significantly higher than for </w:t>
      </w:r>
      <w:r>
        <w:rPr>
          <w:i/>
        </w:rPr>
        <w:t>O</w:t>
      </w:r>
      <w:r>
        <w:t xml:space="preserve"> responses (</w:t>
      </w:r>
      <m:oMath>
        <m:r>
          <w:rPr>
            <w:rFonts w:ascii="Cambria Math" w:hAnsi="Cambria Math"/>
          </w:rPr>
          <m:t>M</m:t>
        </m:r>
        <m:r>
          <w:rPr>
            <w:rFonts w:ascii="Cambria Math" w:hAnsi="Cambria Math"/>
          </w:rPr>
          <m:t>=0.59</m:t>
        </m:r>
      </m:oMath>
      <w:r>
        <w:t xml:space="preserve">, 95% CI </w:t>
      </w:r>
      <m:oMath>
        <m:r>
          <w:rPr>
            <w:rFonts w:ascii="Cambria Math" w:hAnsi="Cambria Math"/>
          </w:rPr>
          <m:t>[0.53</m:t>
        </m:r>
      </m:oMath>
      <w:r>
        <w:t xml:space="preserve">, </w:t>
      </w:r>
      <m:oMath>
        <m:r>
          <w:rPr>
            <w:rFonts w:ascii="Cambria Math" w:hAnsi="Cambria Math"/>
          </w:rPr>
          <m:t>0.</m:t>
        </m:r>
        <m:r>
          <w:rPr>
            <w:rFonts w:ascii="Cambria Math" w:hAnsi="Cambria Math"/>
          </w:rPr>
          <m:t>65]</m:t>
        </m:r>
      </m:oMath>
      <w:r>
        <w:t xml:space="preserve">; </w:t>
      </w:r>
      <m:oMath>
        <m:r>
          <w:rPr>
            <w:rFonts w:ascii="Cambria Math" w:hAnsi="Cambria Math"/>
          </w:rPr>
          <m:t>t</m:t>
        </m:r>
        <m:r>
          <w:rPr>
            <w:rFonts w:ascii="Cambria Math" w:hAnsi="Cambria Math"/>
          </w:rPr>
          <m:t>(20)=2.15</m:t>
        </m:r>
      </m:oMath>
      <w:r>
        <w:t xml:space="preserve">, </w:t>
      </w:r>
      <m:oMath>
        <m:r>
          <w:rPr>
            <w:rFonts w:ascii="Cambria Math" w:hAnsi="Cambria Math"/>
          </w:rPr>
          <m:t>p</m:t>
        </m:r>
        <m:r>
          <w:rPr>
            <w:rFonts w:ascii="Cambria Math" w:hAnsi="Cambria Math"/>
          </w:rPr>
          <m:t>=.044</m:t>
        </m:r>
      </m:oMath>
      <w:r>
        <w:t>; Cohen’s d = 0.47; see Figure .), mirroring the metacognitive asymmetry for detection judgments.</w:t>
      </w:r>
    </w:p>
    <w:p w14:paraId="4B665081" w14:textId="77777777" w:rsidR="009A62BA" w:rsidRDefault="00E926AA">
      <w:pPr>
        <w:pStyle w:val="BodyText"/>
      </w:pPr>
      <w:r>
        <w:lastRenderedPageBreak/>
        <w:t>Similar to Vincent (2011), we observed shallow standardized ROC (zROC) curves (</w:t>
      </w:r>
      <m:oMath>
        <m:r>
          <w:rPr>
            <w:rFonts w:ascii="Cambria Math" w:hAnsi="Cambria Math"/>
          </w:rPr>
          <m:t>M</m:t>
        </m:r>
        <m:r>
          <w:rPr>
            <w:rFonts w:ascii="Cambria Math" w:hAnsi="Cambria Math"/>
          </w:rPr>
          <m:t>=</m:t>
        </m:r>
      </m:oMath>
      <w:r>
        <w:t xml:space="preserve"> 0.69 </w:t>
      </w:r>
      <m:oMath>
        <m:r>
          <w:rPr>
            <w:rFonts w:ascii="Cambria Math" w:hAnsi="Cambria Math"/>
          </w:rPr>
          <m:t>t</m:t>
        </m:r>
        <m:r>
          <w:rPr>
            <w:rFonts w:ascii="Cambria Math" w:hAnsi="Cambria Math"/>
          </w:rPr>
          <m:t>(29)=-6.70</m:t>
        </m:r>
      </m:oMath>
      <w:r>
        <w:t xml:space="preserve">, </w:t>
      </w:r>
      <m:oMath>
        <m:r>
          <w:rPr>
            <w:rFonts w:ascii="Cambria Math" w:hAnsi="Cambria Math"/>
          </w:rPr>
          <m:t>p</m:t>
        </m:r>
        <m:r>
          <w:rPr>
            <w:rFonts w:ascii="Cambria Math" w:hAnsi="Cambria Math"/>
          </w:rPr>
          <m:t>&lt;.001</m:t>
        </m:r>
      </m:oMath>
      <w:r>
        <w:t xml:space="preserve"> </w:t>
      </w:r>
      <w:r>
        <w:t>for a t test on the log slopes). Shallow zROC curves are typical of situations where the signal distribution for one category is broader than for the other (Kellij et al., 2018; Vincent, 2011).</w:t>
      </w:r>
    </w:p>
    <w:p w14:paraId="2F2B3137" w14:textId="77777777" w:rsidR="009A62BA" w:rsidRDefault="00E926AA">
      <w:pPr>
        <w:pStyle w:val="CaptionedFigure"/>
      </w:pPr>
      <w:r>
        <w:rPr>
          <w:noProof/>
          <w:lang w:bidi="he-IL"/>
        </w:rPr>
        <w:drawing>
          <wp:inline distT="0" distB="0" distL="0" distR="0" wp14:anchorId="539CEC7F" wp14:editId="4629A804">
            <wp:extent cx="4587290" cy="3669832"/>
            <wp:effectExtent l="0" t="0" r="0" b="0"/>
            <wp:docPr id="5" name="Picture" descr="Figure 2:.  response conditional ROC curves for the two discrimination responses. The area under the curve is a measure of metacognitive sensitivity. Bottom right inset: distributions of the area under the curve for the two responses, across participants. Overall, participants had lower metacognitive insight into the accuracy of their ‘O’ responses."/>
            <wp:cNvGraphicFramePr/>
            <a:graphic xmlns:a="http://schemas.openxmlformats.org/drawingml/2006/main">
              <a:graphicData uri="http://schemas.openxmlformats.org/drawingml/2006/picture">
                <pic:pic xmlns:pic="http://schemas.openxmlformats.org/drawingml/2006/picture">
                  <pic:nvPicPr>
                    <pic:cNvPr id="0" name="Picture" descr="asymmetry_files/figure-docx/rc-ROC-pilot-1.png"/>
                    <pic:cNvPicPr>
                      <a:picLocks noChangeAspect="1" noChangeArrowheads="1"/>
                    </pic:cNvPicPr>
                  </pic:nvPicPr>
                  <pic:blipFill>
                    <a:blip r:embed="rId25"/>
                    <a:stretch>
                      <a:fillRect/>
                    </a:stretch>
                  </pic:blipFill>
                  <pic:spPr bwMode="auto">
                    <a:xfrm>
                      <a:off x="0" y="0"/>
                      <a:ext cx="4587290" cy="3669832"/>
                    </a:xfrm>
                    <a:prstGeom prst="rect">
                      <a:avLst/>
                    </a:prstGeom>
                    <a:noFill/>
                    <a:ln w="9525">
                      <a:noFill/>
                      <a:headEnd/>
                      <a:tailEnd/>
                    </a:ln>
                  </pic:spPr>
                </pic:pic>
              </a:graphicData>
            </a:graphic>
          </wp:inline>
        </w:drawing>
      </w:r>
    </w:p>
    <w:p w14:paraId="270BE858" w14:textId="77777777" w:rsidR="009A62BA" w:rsidRDefault="00E926AA">
      <w:pPr>
        <w:pStyle w:val="ImageCaption"/>
      </w:pPr>
      <w:r>
        <w:rPr>
          <w:i/>
        </w:rPr>
        <w:t>Figure</w:t>
      </w:r>
      <w:r>
        <w:t xml:space="preserve"> </w:t>
      </w:r>
      <w:r>
        <w:rPr>
          <w:i/>
        </w:rPr>
        <w:t>2:</w:t>
      </w:r>
      <w:r>
        <w:t>.  response conditional ROC curves for the two disc</w:t>
      </w:r>
      <w:r>
        <w:t>rimination responses. The area under the curve is a measure of metacognitive sensitivity. Bottom right inset: distributions of the area under the curve for the two responses, across participants. Overall, participants had lower metacognitive insight into t</w:t>
      </w:r>
      <w:r>
        <w:t>he accuracy of their ‘O’ responses.</w:t>
      </w:r>
    </w:p>
    <w:p w14:paraId="0EDD37E3" w14:textId="77777777" w:rsidR="009A62BA" w:rsidRDefault="00E926AA">
      <w:pPr>
        <w:pStyle w:val="Heading2"/>
      </w:pPr>
      <w:bookmarkStart w:id="66" w:name="pilot-experiment-2"/>
      <w:commentRangeStart w:id="67"/>
      <w:r>
        <w:lastRenderedPageBreak/>
        <w:t>Pilot Experiment 2</w:t>
      </w:r>
      <w:bookmarkEnd w:id="66"/>
      <w:commentRangeEnd w:id="67"/>
      <w:r w:rsidR="00E84B49">
        <w:rPr>
          <w:rStyle w:val="CommentReference"/>
          <w:rFonts w:eastAsiaTheme="minorHAnsi" w:cstheme="minorBidi"/>
          <w:b w:val="0"/>
        </w:rPr>
        <w:commentReference w:id="67"/>
      </w:r>
    </w:p>
    <w:p w14:paraId="57B5B09E" w14:textId="77777777" w:rsidR="009A62BA" w:rsidRDefault="00E926AA">
      <w:pPr>
        <w:pStyle w:val="Heading2"/>
      </w:pPr>
      <w:bookmarkStart w:id="68" w:name="gono-go-task-response-inhibition."/>
      <w:r>
        <w:t>Go/No-go task: response inhibition.</w:t>
      </w:r>
      <w:bookmarkEnd w:id="68"/>
    </w:p>
    <w:p w14:paraId="70457D3B" w14:textId="77777777" w:rsidR="009A62BA" w:rsidRDefault="00E926AA">
      <w:pPr>
        <w:pStyle w:val="Heading2"/>
      </w:pPr>
      <w:bookmarkStart w:id="69" w:name="participants-1"/>
      <w:r>
        <w:t>Participants</w:t>
      </w:r>
      <w:bookmarkEnd w:id="69"/>
    </w:p>
    <w:p w14:paraId="34E2267D" w14:textId="77777777" w:rsidR="009A62BA" w:rsidRDefault="00E926AA">
      <w:pPr>
        <w:pStyle w:val="FirstParagraph"/>
      </w:pPr>
      <w:r>
        <w:t>A total of 30 participants were recruited from Prolific. Participants were Native English Speakers and had a minimum approval rate of 0.9. They were pai</w:t>
      </w:r>
      <w:r>
        <w:t>d £0.50 for their participation, in addition to a bonus payment of up to £0.32. The experiment took 4 minutes to complete.</w:t>
      </w:r>
    </w:p>
    <w:p w14:paraId="62EB4C2B" w14:textId="77777777" w:rsidR="009A62BA" w:rsidRDefault="00E926AA">
      <w:pPr>
        <w:pStyle w:val="Heading2"/>
      </w:pPr>
      <w:bookmarkStart w:id="70" w:name="experimental-design"/>
      <w:r>
        <w:t>Experimental design</w:t>
      </w:r>
      <w:bookmarkEnd w:id="70"/>
    </w:p>
    <w:p w14:paraId="77D607C0" w14:textId="77777777" w:rsidR="009A62BA" w:rsidRDefault="00E926AA">
      <w:pPr>
        <w:pStyle w:val="FirstParagraph"/>
      </w:pPr>
      <w:r>
        <w:t>On each trial, participants were presented with a fixation cross (500 ms) followed by one of two shapes (500 ms).</w:t>
      </w:r>
      <w:r>
        <w:t xml:space="preserve"> They were asked to respond with a key press within 500 ms to one shape (‘go’ trials), but not to the other (‘no-go’ trials). Participants were awarded a point for responding on ‘go’ trials and for not responding on ‘no-go’ trials. Points were later transl</w:t>
      </w:r>
      <w:r>
        <w:t>ated to a bonus payment with a conversion rate of £0.0025 per point. .</w:t>
      </w:r>
    </w:p>
    <w:p w14:paraId="68F453CC" w14:textId="77777777" w:rsidR="009A62BA" w:rsidRDefault="00E926AA">
      <w:pPr>
        <w:pStyle w:val="BodyText"/>
      </w:pPr>
      <w:r>
        <w:t>After Reading the information sheet and signing the consent form, participants were instructed about the task. In the following practice part, participants had 8 practice trials in whic</w:t>
      </w:r>
      <w:r>
        <w:t>h they responded to a club, but not to a heart. The practice block was followed by a verbal comprehension test (‘Please describe the task in your own words’), which was followed by the main task.</w:t>
      </w:r>
    </w:p>
    <w:p w14:paraId="003FAD7A" w14:textId="77777777" w:rsidR="009A62BA" w:rsidRDefault="00E926AA">
      <w:pPr>
        <w:pStyle w:val="BodyText"/>
      </w:pPr>
      <w:r>
        <w:t>The main task consisted of 128 trials, separated into four b</w:t>
      </w:r>
      <w:r>
        <w:t xml:space="preserve">locks of 32 trials each. In two blocks, participants responded to the appearance of a ring intersected by a line, but not to the appearance of a ring. In the other two blocks, participants responded to the appearance of a ring, </w:t>
      </w:r>
      <w:r>
        <w:lastRenderedPageBreak/>
        <w:t>but not to the appearance of</w:t>
      </w:r>
      <w:r>
        <w:t xml:space="preserve"> a ring intersected by a line. The order of blocks was interleaved. The first block was chosen at random with 50% probability.</w:t>
      </w:r>
    </w:p>
    <w:p w14:paraId="25EED82B" w14:textId="77777777" w:rsidR="009A62BA" w:rsidRDefault="00E926AA">
      <w:pPr>
        <w:pStyle w:val="Heading2"/>
      </w:pPr>
      <w:bookmarkStart w:id="71" w:name="exclusion"/>
      <w:r>
        <w:t>Exclusion</w:t>
      </w:r>
      <w:bookmarkEnd w:id="71"/>
    </w:p>
    <w:p w14:paraId="56E7C1F6" w14:textId="77777777" w:rsidR="009A62BA" w:rsidRDefault="00E926AA">
      <w:pPr>
        <w:pStyle w:val="FirstParagraph"/>
      </w:pPr>
      <w:r>
        <w:t>Participants were excluded for performing below chance and for failing the comprehension check. After exclusion, we had</w:t>
      </w:r>
      <w:r>
        <w:t xml:space="preserve"> datasets from 30 participants.</w:t>
      </w:r>
    </w:p>
    <w:p w14:paraId="1408E884" w14:textId="77777777" w:rsidR="009A62BA" w:rsidRDefault="00E926AA">
      <w:pPr>
        <w:pStyle w:val="Heading2"/>
      </w:pPr>
      <w:bookmarkStart w:id="72" w:name="results"/>
      <w:r>
        <w:t>Results</w:t>
      </w:r>
      <w:bookmarkEnd w:id="72"/>
    </w:p>
    <w:p w14:paraId="34CCC3E1" w14:textId="77777777" w:rsidR="009A62BA" w:rsidRDefault="00E926AA">
      <w:pPr>
        <w:pStyle w:val="FirstParagraph"/>
      </w:pPr>
      <w:r>
        <w:t>Overall accuracy was very high (</w:t>
      </w:r>
      <m:oMath>
        <m:r>
          <w:rPr>
            <w:rFonts w:ascii="Cambria Math" w:hAnsi="Cambria Math"/>
          </w:rPr>
          <m:t>M</m:t>
        </m:r>
        <m:r>
          <w:rPr>
            <w:rFonts w:ascii="Cambria Math" w:hAnsi="Cambria Math"/>
          </w:rPr>
          <m:t>=0.93</m:t>
        </m:r>
      </m:oMath>
      <w:r>
        <w:t xml:space="preserve">, 95% CI </w:t>
      </w:r>
      <m:oMath>
        <m:r>
          <w:rPr>
            <w:rFonts w:ascii="Cambria Math" w:hAnsi="Cambria Math"/>
          </w:rPr>
          <m:t>[0.90</m:t>
        </m:r>
      </m:oMath>
      <w:r>
        <w:t xml:space="preserve">, </w:t>
      </w:r>
      <m:oMath>
        <m:r>
          <w:rPr>
            <w:rFonts w:ascii="Cambria Math" w:hAnsi="Cambria Math"/>
          </w:rPr>
          <m:t>0.96]</m:t>
        </m:r>
      </m:oMath>
      <w:r>
        <w:t>).</w:t>
      </w:r>
    </w:p>
    <w:p w14:paraId="2E8363DC" w14:textId="77777777" w:rsidR="009A62BA" w:rsidRDefault="00E926AA">
      <w:pPr>
        <w:pStyle w:val="BodyText"/>
      </w:pPr>
      <w:r>
        <w:t xml:space="preserve">Accuracy was higher for blocks in which a response was required for </w:t>
      </w:r>
      <w:r>
        <w:rPr>
          <w:i/>
        </w:rPr>
        <w:t>Q</w:t>
      </w:r>
      <w:r>
        <w:t xml:space="preserve"> (</w:t>
      </w:r>
      <m:oMath>
        <m:r>
          <w:rPr>
            <w:rFonts w:ascii="Cambria Math" w:hAnsi="Cambria Math"/>
          </w:rPr>
          <m:t>M</m:t>
        </m:r>
        <m:r>
          <w:rPr>
            <w:rFonts w:ascii="Cambria Math" w:hAnsi="Cambria Math"/>
          </w:rPr>
          <m:t>=0.94</m:t>
        </m:r>
      </m:oMath>
      <w:r>
        <w:t xml:space="preserve">, 95% CI </w:t>
      </w:r>
      <m:oMath>
        <m:r>
          <w:rPr>
            <w:rFonts w:ascii="Cambria Math" w:hAnsi="Cambria Math"/>
          </w:rPr>
          <m:t>[0.91</m:t>
        </m:r>
      </m:oMath>
      <w:r>
        <w:t xml:space="preserve">, </w:t>
      </w:r>
      <m:oMath>
        <m:r>
          <w:rPr>
            <w:rFonts w:ascii="Cambria Math" w:hAnsi="Cambria Math"/>
          </w:rPr>
          <m:t>0.98]</m:t>
        </m:r>
      </m:oMath>
      <w:r>
        <w:t xml:space="preserve">) than for </w:t>
      </w:r>
      <w:r>
        <w:rPr>
          <w:i/>
        </w:rPr>
        <w:t>O</w:t>
      </w:r>
      <w:r>
        <w:t xml:space="preserve"> (</w:t>
      </w:r>
      <m:oMath>
        <m:r>
          <w:rPr>
            <w:rFonts w:ascii="Cambria Math" w:hAnsi="Cambria Math"/>
          </w:rPr>
          <m:t>M</m:t>
        </m:r>
        <m:r>
          <w:rPr>
            <w:rFonts w:ascii="Cambria Math" w:hAnsi="Cambria Math"/>
          </w:rPr>
          <m:t>=0.92</m:t>
        </m:r>
      </m:oMath>
      <w:r>
        <w:t xml:space="preserve">, 95% CI </w:t>
      </w:r>
      <m:oMath>
        <m:r>
          <w:rPr>
            <w:rFonts w:ascii="Cambria Math" w:hAnsi="Cambria Math"/>
          </w:rPr>
          <m:t>[0.89</m:t>
        </m:r>
      </m:oMath>
      <w:r>
        <w:t xml:space="preserve">, </w:t>
      </w:r>
      <m:oMath>
        <m:r>
          <w:rPr>
            <w:rFonts w:ascii="Cambria Math" w:hAnsi="Cambria Math"/>
          </w:rPr>
          <m:t>0.95]</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d</m:t>
            </m:r>
          </m:sub>
        </m:sSub>
        <m:r>
          <w:rPr>
            <w:rFonts w:ascii="Cambria Math" w:hAnsi="Cambria Math"/>
          </w:rPr>
          <m:t>=0.02</m:t>
        </m:r>
      </m:oMath>
      <w:r>
        <w:t>,</w:t>
      </w:r>
      <w:r>
        <w:t xml:space="preserve"> 95% CI </w:t>
      </w:r>
      <m:oMath>
        <m:r>
          <w:rPr>
            <w:rFonts w:ascii="Cambria Math" w:hAnsi="Cambria Math"/>
          </w:rPr>
          <m:t>[0.01</m:t>
        </m:r>
      </m:oMath>
      <w:r>
        <w:t xml:space="preserve">, </w:t>
      </w:r>
      <m:oMath>
        <m:r>
          <w:rPr>
            <w:rFonts w:ascii="Cambria Math" w:hAnsi="Cambria Math"/>
          </w:rPr>
          <m:t>0.04]</m:t>
        </m:r>
      </m:oMath>
      <w:r>
        <w:t xml:space="preserve">, </w:t>
      </w:r>
      <m:oMath>
        <m:r>
          <w:rPr>
            <w:rFonts w:ascii="Cambria Math" w:hAnsi="Cambria Math"/>
          </w:rPr>
          <m:t>t</m:t>
        </m:r>
        <m:r>
          <w:rPr>
            <w:rFonts w:ascii="Cambria Math" w:hAnsi="Cambria Math"/>
          </w:rPr>
          <m:t>(29)=3.19</m:t>
        </m:r>
      </m:oMath>
      <w:r>
        <w:t xml:space="preserve">, </w:t>
      </w:r>
      <m:oMath>
        <m:r>
          <w:rPr>
            <w:rFonts w:ascii="Cambria Math" w:hAnsi="Cambria Math"/>
          </w:rPr>
          <m:t>p</m:t>
        </m:r>
        <m:r>
          <w:rPr>
            <w:rFonts w:ascii="Cambria Math" w:hAnsi="Cambria Math"/>
          </w:rPr>
          <m:t>=.003</m:t>
        </m:r>
      </m:oMath>
      <w:r>
        <w:t>; see Fig. ).</w:t>
      </w:r>
    </w:p>
    <w:p w14:paraId="019AAF97" w14:textId="77777777" w:rsidR="009A62BA" w:rsidRDefault="00E926AA">
      <w:pPr>
        <w:pStyle w:val="BodyText"/>
      </w:pPr>
      <w:r>
        <w:t xml:space="preserve">No difference was observed between the reaction times for the two block types (median reaction time in </w:t>
      </w:r>
      <w:r>
        <w:rPr>
          <w:i/>
        </w:rPr>
        <w:t>Q</w:t>
      </w:r>
      <w:r>
        <w:t xml:space="preserve">-target blocks 358.39; median reaction time in </w:t>
      </w:r>
      <w:r>
        <w:rPr>
          <w:i/>
        </w:rPr>
        <w:t>O</w:t>
      </w:r>
      <w:r>
        <w:t>-target blocks: 370.75; t-test on the log-transf</w:t>
      </w:r>
      <w:r>
        <w:t xml:space="preserve">ormed reaction times: </w:t>
      </w:r>
      <m:oMath>
        <m:r>
          <w:rPr>
            <w:rFonts w:ascii="Cambria Math" w:hAnsi="Cambria Math"/>
          </w:rPr>
          <m:t>M</m:t>
        </m:r>
        <m:r>
          <w:rPr>
            <w:rFonts w:ascii="Cambria Math" w:hAnsi="Cambria Math"/>
          </w:rPr>
          <m:t>=0.00</m:t>
        </m:r>
      </m:oMath>
      <w:r>
        <w:t xml:space="preserve"> 95% HDI </w:t>
      </w:r>
      <m:oMath>
        <m:r>
          <w:rPr>
            <w:rFonts w:ascii="Cambria Math" w:hAnsi="Cambria Math"/>
          </w:rPr>
          <m:t>[-0.02</m:t>
        </m:r>
      </m:oMath>
      <w:r>
        <w:t xml:space="preserve">, </w:t>
      </w:r>
      <m:oMath>
        <m:r>
          <w:rPr>
            <w:rFonts w:ascii="Cambria Math" w:hAnsi="Cambria Math"/>
          </w:rPr>
          <m:t>0.02]</m:t>
        </m:r>
      </m:oMath>
      <w:r>
        <w:t xml:space="preserve">, </w:t>
      </w:r>
      <m:oMath>
        <m:sSub>
          <m:sSubPr>
            <m:ctrlPr>
              <w:rPr>
                <w:rFonts w:ascii="Cambria Math" w:hAnsi="Cambria Math"/>
              </w:rPr>
            </m:ctrlPr>
          </m:sSubPr>
          <m:e>
            <m:r>
              <m:rPr>
                <m:sty m:val="p"/>
              </m:rPr>
              <w:rPr>
                <w:rFonts w:ascii="Cambria Math" w:hAnsi="Cambria Math"/>
              </w:rPr>
              <m:t>BF</m:t>
            </m:r>
          </m:e>
          <m:sub>
            <m:r>
              <m:rPr>
                <m:nor/>
              </m:rPr>
              <m:t>01</m:t>
            </m:r>
          </m:sub>
        </m:sSub>
        <m:r>
          <w:rPr>
            <w:rFonts w:ascii="Cambria Math" w:hAnsi="Cambria Math"/>
          </w:rPr>
          <m:t>=4.53</m:t>
        </m:r>
      </m:oMath>
      <w:r>
        <w:t>).</w:t>
      </w:r>
    </w:p>
    <w:p w14:paraId="264EDDF8" w14:textId="77777777" w:rsidR="009A62BA" w:rsidRDefault="00E926AA">
      <w:pPr>
        <w:pStyle w:val="CaptionedFigure"/>
      </w:pPr>
      <w:r>
        <w:rPr>
          <w:noProof/>
          <w:lang w:bidi="he-IL"/>
        </w:rPr>
        <w:lastRenderedPageBreak/>
        <w:drawing>
          <wp:inline distT="0" distB="0" distL="0" distR="0" wp14:anchorId="471F802A" wp14:editId="1E849584">
            <wp:extent cx="4587290" cy="3669832"/>
            <wp:effectExtent l="0" t="0" r="0" b="0"/>
            <wp:docPr id="6" name="Picture" descr="Figure 3:.  Accuracy as a function of target in the Go/No-go task."/>
            <wp:cNvGraphicFramePr/>
            <a:graphic xmlns:a="http://schemas.openxmlformats.org/drawingml/2006/main">
              <a:graphicData uri="http://schemas.openxmlformats.org/drawingml/2006/picture">
                <pic:pic xmlns:pic="http://schemas.openxmlformats.org/drawingml/2006/picture">
                  <pic:nvPicPr>
                    <pic:cNvPr id="0" name="Picture" descr="asymmetry_files/figure-docx/gng-accuracy-1.png"/>
                    <pic:cNvPicPr>
                      <a:picLocks noChangeAspect="1" noChangeArrowheads="1"/>
                    </pic:cNvPicPr>
                  </pic:nvPicPr>
                  <pic:blipFill>
                    <a:blip r:embed="rId28"/>
                    <a:stretch>
                      <a:fillRect/>
                    </a:stretch>
                  </pic:blipFill>
                  <pic:spPr bwMode="auto">
                    <a:xfrm>
                      <a:off x="0" y="0"/>
                      <a:ext cx="4587290" cy="3669832"/>
                    </a:xfrm>
                    <a:prstGeom prst="rect">
                      <a:avLst/>
                    </a:prstGeom>
                    <a:noFill/>
                    <a:ln w="9525">
                      <a:noFill/>
                      <a:headEnd/>
                      <a:tailEnd/>
                    </a:ln>
                  </pic:spPr>
                </pic:pic>
              </a:graphicData>
            </a:graphic>
          </wp:inline>
        </w:drawing>
      </w:r>
    </w:p>
    <w:p w14:paraId="3AA629B8" w14:textId="77777777" w:rsidR="009A62BA" w:rsidRDefault="00E926AA">
      <w:pPr>
        <w:pStyle w:val="ImageCaption"/>
      </w:pPr>
      <w:r>
        <w:rPr>
          <w:i/>
        </w:rPr>
        <w:t>Figure</w:t>
      </w:r>
      <w:r>
        <w:t xml:space="preserve"> </w:t>
      </w:r>
      <w:r>
        <w:rPr>
          <w:i/>
        </w:rPr>
        <w:t>3:</w:t>
      </w:r>
      <w:r>
        <w:t>.  Accuracy as a function of target in the Go/No-go task.</w:t>
      </w:r>
    </w:p>
    <w:p w14:paraId="139B46C9" w14:textId="77777777" w:rsidR="009A62BA" w:rsidRDefault="00E926AA">
      <w:pPr>
        <w:pStyle w:val="Heading2"/>
      </w:pPr>
      <w:bookmarkStart w:id="73" w:name="pilot-experiment-3"/>
      <w:r>
        <w:t>Pilot Experiment 3</w:t>
      </w:r>
      <w:bookmarkEnd w:id="73"/>
    </w:p>
    <w:p w14:paraId="46F73B07" w14:textId="77777777" w:rsidR="009A62BA" w:rsidRDefault="00E926AA">
      <w:pPr>
        <w:pStyle w:val="Heading2"/>
      </w:pPr>
      <w:bookmarkStart w:id="74" w:name="change-detection"/>
      <w:r>
        <w:t>Change Detection</w:t>
      </w:r>
      <w:bookmarkEnd w:id="74"/>
    </w:p>
    <w:p w14:paraId="15A04341" w14:textId="77777777" w:rsidR="009A62BA" w:rsidRDefault="00E926AA">
      <w:pPr>
        <w:pStyle w:val="Heading2"/>
      </w:pPr>
      <w:bookmarkStart w:id="75" w:name="participants-2"/>
      <w:r>
        <w:t>Participants</w:t>
      </w:r>
      <w:bookmarkEnd w:id="75"/>
    </w:p>
    <w:p w14:paraId="4040C192" w14:textId="77777777" w:rsidR="009A62BA" w:rsidRDefault="00E926AA">
      <w:pPr>
        <w:pStyle w:val="FirstParagraph"/>
      </w:pPr>
      <w:r>
        <w:t>A total of 38 participants were recruited from Prolific. Participants were Native English Speakers and had a minimum approval rate of 0.95. They were paid £0.63 for their participation, in addition to a bonus payment of up to £0.32 (average bonus paid: £0.</w:t>
      </w:r>
      <w:r>
        <w:t>28). The experiment took 5 minutes to complete.</w:t>
      </w:r>
    </w:p>
    <w:p w14:paraId="0F4ED748" w14:textId="77777777" w:rsidR="009A62BA" w:rsidRDefault="00E926AA">
      <w:pPr>
        <w:pStyle w:val="Heading2"/>
      </w:pPr>
      <w:bookmarkStart w:id="76" w:name="experimental-design-1"/>
      <w:r>
        <w:lastRenderedPageBreak/>
        <w:t>Experimental design</w:t>
      </w:r>
      <w:bookmarkEnd w:id="76"/>
    </w:p>
    <w:p w14:paraId="5EA5A571" w14:textId="77777777" w:rsidR="009A62BA" w:rsidRDefault="00E926AA">
      <w:pPr>
        <w:pStyle w:val="FirstParagraph"/>
      </w:pPr>
      <w:r>
        <w:t>On each trial, participants were presented with an array of randomly positioned stimuli (500 ms). All stimuli belonged to one of two classes (for example, the letters ‘O’ and ‘Q’). The arr</w:t>
      </w:r>
      <w:r>
        <w:t>ay disappeared from the screen for an interval of 900 ms, and then reappeared. On half of the trials, the second array was the identical to the first array, and on the other half one stimulus changed between the first and second arrays. Participants were i</w:t>
      </w:r>
      <w:r>
        <w:t>nstructed to press ‘J’ if they detected a change, or ‘F’ if they believed no change has taken place. There was no time pressure on making a response. Points were awarded for correct responses, and points were later translated to a bonus payment with a conv</w:t>
      </w:r>
      <w:r>
        <w:t>ersion rate of £0.005 per point.</w:t>
      </w:r>
    </w:p>
    <w:p w14:paraId="13C8DA69" w14:textId="77777777" w:rsidR="009A62BA" w:rsidRDefault="00E926AA">
      <w:pPr>
        <w:pStyle w:val="BodyText"/>
      </w:pPr>
      <w:r>
        <w:t xml:space="preserve">After Reading the information sheet and signing the consent form, participants were instructed about the task. A practice part included 4 trials in which participants detected a change in an array of 3 </w:t>
      </w:r>
      <w:r>
        <w:rPr>
          <w:i/>
        </w:rPr>
        <w:t>X</w:t>
      </w:r>
      <w:r>
        <w:t xml:space="preserve">s and </w:t>
      </w:r>
      <w:r>
        <w:rPr>
          <w:i/>
        </w:rPr>
        <w:t>W</w:t>
      </w:r>
      <w:r>
        <w:t xml:space="preserve">s (two </w:t>
      </w:r>
      <w:r>
        <w:rPr>
          <w:i/>
        </w:rPr>
        <w:t>X</w:t>
      </w:r>
      <w:r>
        <w:t>s and</w:t>
      </w:r>
      <w:r>
        <w:t xml:space="preserve"> one </w:t>
      </w:r>
      <w:r>
        <w:rPr>
          <w:i/>
        </w:rPr>
        <w:t>W</w:t>
      </w:r>
      <w:r>
        <w:t xml:space="preserve"> or vice versa). The practice part ended once three out of four trials were answered correctly, otherwise an additional practice block was delivered. The practice block was followed by an explanation about the scoring system and bonus payment. Then, </w:t>
      </w:r>
      <w:r>
        <w:t>the main part of the experiment started.</w:t>
      </w:r>
    </w:p>
    <w:p w14:paraId="1B6FB960" w14:textId="77777777" w:rsidR="009A62BA" w:rsidRDefault="00E926AA">
      <w:pPr>
        <w:pStyle w:val="BodyText"/>
      </w:pPr>
      <w:r>
        <w:t xml:space="preserve">The main task consisted of 64 trials, separated into four blocks of 16 trials each. The two stimulus classes used for the main experiment were the letters </w:t>
      </w:r>
      <w:r>
        <w:rPr>
          <w:i/>
        </w:rPr>
        <w:t>Q</w:t>
      </w:r>
      <w:r>
        <w:t xml:space="preserve"> (feature positive) and </w:t>
      </w:r>
      <w:r>
        <w:rPr>
          <w:i/>
        </w:rPr>
        <w:t>O</w:t>
      </w:r>
      <w:r>
        <w:t xml:space="preserve"> (feature negative). The number of</w:t>
      </w:r>
      <w:r>
        <w:t xml:space="preserve"> stimuli on the screen was odd in all trials, and the difference between the number of </w:t>
      </w:r>
      <w:r>
        <w:rPr>
          <w:i/>
        </w:rPr>
        <w:t>O</w:t>
      </w:r>
      <w:r>
        <w:t xml:space="preserve">s and </w:t>
      </w:r>
      <w:r>
        <w:rPr>
          <w:i/>
        </w:rPr>
        <w:t>Q</w:t>
      </w:r>
      <w:r>
        <w:t xml:space="preserve">s was always one, for both the first and the second display. Change trials were classified into two conditions: feature addition (O to Q) and deletion (Q to O). </w:t>
      </w:r>
      <w:r>
        <w:t xml:space="preserve">No-change trials were classified into the same two classes based on the contents of the first display: if the first display contained more </w:t>
      </w:r>
      <w:r>
        <w:rPr>
          <w:i/>
        </w:rPr>
        <w:t>O</w:t>
      </w:r>
      <w:r>
        <w:t xml:space="preserve">s, the trial was classified as a no-addition trial, and if there were more </w:t>
      </w:r>
      <w:r>
        <w:rPr>
          <w:i/>
        </w:rPr>
        <w:t>Q</w:t>
      </w:r>
      <w:r>
        <w:t>s, the trial was classified as a no-dele</w:t>
      </w:r>
      <w:r>
        <w:t xml:space="preserve">tion trial. Each block included all possible </w:t>
      </w:r>
      <w:r>
        <w:lastRenderedPageBreak/>
        <w:t>combinations of our three experimental factors: change (yes or no), condition (addition or deletion), and set-size. For a first batch of 8 participant, set sizes were 1,3,5,7,9 and 11. For the remaining 30 parti</w:t>
      </w:r>
      <w:r>
        <w:t>cipants, set sizes were 1,3,5, and 7. Trials with set size 1 were used as attention checks, and were not included in the main analysis.</w:t>
      </w:r>
    </w:p>
    <w:p w14:paraId="28275970" w14:textId="77777777" w:rsidR="009A62BA" w:rsidRDefault="00E926AA">
      <w:pPr>
        <w:pStyle w:val="Heading2"/>
      </w:pPr>
      <w:bookmarkStart w:id="77" w:name="exclusion-1"/>
      <w:r>
        <w:t>Exclusion</w:t>
      </w:r>
      <w:bookmarkEnd w:id="77"/>
    </w:p>
    <w:p w14:paraId="089EF50F" w14:textId="77777777" w:rsidR="009A62BA" w:rsidRDefault="00E926AA">
      <w:pPr>
        <w:pStyle w:val="FirstParagraph"/>
      </w:pPr>
      <w:r>
        <w:t>Participants were excluded for performing below 80% in trials with set size 1, or for responding too quickly (RT&lt;250 ms) or too slowly (RT&gt;5 sec) in more than 25% of the trials. After exclusion, we had datasets from 38 participants.</w:t>
      </w:r>
    </w:p>
    <w:p w14:paraId="552BEBFB" w14:textId="77777777" w:rsidR="009A62BA" w:rsidRDefault="00E926AA">
      <w:pPr>
        <w:pStyle w:val="Heading2"/>
      </w:pPr>
      <w:bookmarkStart w:id="78" w:name="results-1"/>
      <w:r>
        <w:t>Results</w:t>
      </w:r>
      <w:bookmarkEnd w:id="78"/>
    </w:p>
    <w:p w14:paraId="1108EA7B" w14:textId="77777777" w:rsidR="009A62BA" w:rsidRDefault="00E926AA">
      <w:pPr>
        <w:pStyle w:val="FirstParagraph"/>
      </w:pPr>
      <w:r>
        <w:t>Overall accurac</w:t>
      </w:r>
      <w:r>
        <w:t>y was around 75% (</w:t>
      </w:r>
      <m:oMath>
        <m:r>
          <w:rPr>
            <w:rFonts w:ascii="Cambria Math" w:hAnsi="Cambria Math"/>
          </w:rPr>
          <m:t>M</m:t>
        </m:r>
        <m:r>
          <w:rPr>
            <w:rFonts w:ascii="Cambria Math" w:hAnsi="Cambria Math"/>
          </w:rPr>
          <m:t>=0.75</m:t>
        </m:r>
      </m:oMath>
      <w:r>
        <w:t xml:space="preserve">, 95% CI </w:t>
      </w:r>
      <m:oMath>
        <m:r>
          <w:rPr>
            <w:rFonts w:ascii="Cambria Math" w:hAnsi="Cambria Math"/>
          </w:rPr>
          <m:t>[0.72</m:t>
        </m:r>
      </m:oMath>
      <w:r>
        <w:t xml:space="preserve">, </w:t>
      </w:r>
      <m:oMath>
        <m:r>
          <w:rPr>
            <w:rFonts w:ascii="Cambria Math" w:hAnsi="Cambria Math"/>
          </w:rPr>
          <m:t>0.79]</m:t>
        </m:r>
      </m:oMath>
      <w:r>
        <w:t>). Accuracy was significantly higher for addition trials than for deletion trials (</w:t>
      </w:r>
      <m:oMath>
        <m:sSub>
          <m:sSubPr>
            <m:ctrlPr>
              <w:rPr>
                <w:rFonts w:ascii="Cambria Math" w:hAnsi="Cambria Math"/>
              </w:rPr>
            </m:ctrlPr>
          </m:sSubPr>
          <m:e>
            <m:r>
              <w:rPr>
                <w:rFonts w:ascii="Cambria Math" w:hAnsi="Cambria Math"/>
              </w:rPr>
              <m:t>M</m:t>
            </m:r>
          </m:e>
          <m:sub>
            <m:r>
              <w:rPr>
                <w:rFonts w:ascii="Cambria Math" w:hAnsi="Cambria Math"/>
              </w:rPr>
              <m:t>d</m:t>
            </m:r>
          </m:sub>
        </m:sSub>
        <m:r>
          <w:rPr>
            <w:rFonts w:ascii="Cambria Math" w:hAnsi="Cambria Math"/>
          </w:rPr>
          <m:t>=0.05</m:t>
        </m:r>
      </m:oMath>
      <w:r>
        <w:t xml:space="preserve">, 95% CI </w:t>
      </w:r>
      <m:oMath>
        <m:r>
          <w:rPr>
            <w:rFonts w:ascii="Cambria Math" w:hAnsi="Cambria Math"/>
          </w:rPr>
          <m:t>[0.01</m:t>
        </m:r>
      </m:oMath>
      <w:r>
        <w:t xml:space="preserve">, </w:t>
      </w:r>
      <m:oMath>
        <m:r>
          <w:rPr>
            <w:rFonts w:ascii="Cambria Math" w:hAnsi="Cambria Math"/>
          </w:rPr>
          <m:t>0.09]</m:t>
        </m:r>
      </m:oMath>
      <w:r>
        <w:t xml:space="preserve">, </w:t>
      </w:r>
      <m:oMath>
        <m:r>
          <w:rPr>
            <w:rFonts w:ascii="Cambria Math" w:hAnsi="Cambria Math"/>
          </w:rPr>
          <m:t>t</m:t>
        </m:r>
        <m:r>
          <w:rPr>
            <w:rFonts w:ascii="Cambria Math" w:hAnsi="Cambria Math"/>
          </w:rPr>
          <m:t>(37)=2.65</m:t>
        </m:r>
      </m:oMath>
      <w:r>
        <w:t xml:space="preserve">, </w:t>
      </w:r>
      <m:oMath>
        <m:r>
          <w:rPr>
            <w:rFonts w:ascii="Cambria Math" w:hAnsi="Cambria Math"/>
          </w:rPr>
          <m:t>p</m:t>
        </m:r>
        <m:r>
          <w:rPr>
            <w:rFonts w:ascii="Cambria Math" w:hAnsi="Cambria Math"/>
          </w:rPr>
          <m:t>=.012</m:t>
        </m:r>
      </m:oMath>
      <w:r>
        <w:t>). Analysis of variance revealed a marginally significant interaction of th</w:t>
      </w:r>
      <w:r>
        <w:t>is effect with set-size (</w:t>
      </w:r>
      <m:oMath>
        <m:r>
          <w:rPr>
            <w:rFonts w:ascii="Cambria Math" w:hAnsi="Cambria Math"/>
          </w:rPr>
          <m:t>F</m:t>
        </m:r>
        <m:r>
          <w:rPr>
            <w:rFonts w:ascii="Cambria Math" w:hAnsi="Cambria Math"/>
          </w:rPr>
          <m:t>(1.73,63.87)=2.97</m:t>
        </m:r>
      </m:oMath>
      <w:r>
        <w:t xml:space="preserve">, </w:t>
      </w:r>
      <m:oMath>
        <m:r>
          <w:rPr>
            <w:rFonts w:ascii="Cambria Math" w:hAnsi="Cambria Math"/>
          </w:rPr>
          <m:t>MSE</m:t>
        </m:r>
        <m:r>
          <w:rPr>
            <w:rFonts w:ascii="Cambria Math" w:hAnsi="Cambria Math"/>
          </w:rPr>
          <m:t>=0.05</m:t>
        </m:r>
      </m:oMath>
      <w:r>
        <w:t xml:space="preserve">, </w:t>
      </w:r>
      <m:oMath>
        <m:r>
          <w:rPr>
            <w:rFonts w:ascii="Cambria Math" w:hAnsi="Cambria Math"/>
          </w:rPr>
          <m:t>p</m:t>
        </m:r>
        <m:r>
          <w:rPr>
            <w:rFonts w:ascii="Cambria Math" w:hAnsi="Cambria Math"/>
          </w:rPr>
          <m:t>=.066</m:t>
        </m:r>
      </m:oMath>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η</m:t>
                </m:r>
              </m:e>
            </m:acc>
          </m:e>
          <m:sub>
            <m:r>
              <w:rPr>
                <w:rFonts w:ascii="Cambria Math" w:hAnsi="Cambria Math"/>
              </w:rPr>
              <m:t>G</m:t>
            </m:r>
          </m:sub>
          <m:sup>
            <m:r>
              <w:rPr>
                <w:rFonts w:ascii="Cambria Math" w:hAnsi="Cambria Math"/>
              </w:rPr>
              <m:t>2</m:t>
            </m:r>
          </m:sup>
        </m:sSubSup>
        <m:r>
          <w:rPr>
            <w:rFonts w:ascii="Cambria Math" w:hAnsi="Cambria Math"/>
          </w:rPr>
          <m:t>=.011</m:t>
        </m:r>
      </m:oMath>
      <w:r>
        <w:t>). No interaction was observed between addition/deletion and the presence of change (</w:t>
      </w:r>
      <m:oMath>
        <m:r>
          <w:rPr>
            <w:rFonts w:ascii="Cambria Math" w:hAnsi="Cambria Math"/>
          </w:rPr>
          <m:t>F</m:t>
        </m:r>
        <m:r>
          <w:rPr>
            <w:rFonts w:ascii="Cambria Math" w:hAnsi="Cambria Math"/>
          </w:rPr>
          <m:t>(1,37)=0.50</m:t>
        </m:r>
      </m:oMath>
      <w:r>
        <w:t xml:space="preserve">, </w:t>
      </w:r>
      <m:oMath>
        <m:r>
          <w:rPr>
            <w:rFonts w:ascii="Cambria Math" w:hAnsi="Cambria Math"/>
          </w:rPr>
          <m:t>MSE</m:t>
        </m:r>
        <m:r>
          <w:rPr>
            <w:rFonts w:ascii="Cambria Math" w:hAnsi="Cambria Math"/>
          </w:rPr>
          <m:t>=0.03</m:t>
        </m:r>
      </m:oMath>
      <w:r>
        <w:t xml:space="preserve">, </w:t>
      </w:r>
      <m:oMath>
        <m:r>
          <w:rPr>
            <w:rFonts w:ascii="Cambria Math" w:hAnsi="Cambria Math"/>
          </w:rPr>
          <m:t>p</m:t>
        </m:r>
        <m:r>
          <w:rPr>
            <w:rFonts w:ascii="Cambria Math" w:hAnsi="Cambria Math"/>
          </w:rPr>
          <m:t>=.482</m:t>
        </m:r>
      </m:oMath>
      <w:r>
        <w:t>).</w:t>
      </w:r>
    </w:p>
    <w:p w14:paraId="1E18328C" w14:textId="77777777" w:rsidR="009A62BA" w:rsidRDefault="00E926AA">
      <w:pPr>
        <w:pStyle w:val="CaptionedFigure"/>
      </w:pPr>
      <w:r>
        <w:rPr>
          <w:noProof/>
          <w:lang w:bidi="he-IL"/>
        </w:rPr>
        <w:lastRenderedPageBreak/>
        <w:drawing>
          <wp:inline distT="0" distB="0" distL="0" distR="0" wp14:anchorId="5F689CA7" wp14:editId="4B4E993F">
            <wp:extent cx="4587290" cy="3669832"/>
            <wp:effectExtent l="0" t="0" r="0" b="0"/>
            <wp:docPr id="7" name="Picture" descr="Figure 4:.  Accuracy in the change detection task as a function of condition (feature addition or deletion) and set size. Error bars represent the standard error of the mean."/>
            <wp:cNvGraphicFramePr/>
            <a:graphic xmlns:a="http://schemas.openxmlformats.org/drawingml/2006/main">
              <a:graphicData uri="http://schemas.openxmlformats.org/drawingml/2006/picture">
                <pic:pic xmlns:pic="http://schemas.openxmlformats.org/drawingml/2006/picture">
                  <pic:nvPicPr>
                    <pic:cNvPr id="0" name="Picture" descr="asymmetry_files/figure-docx/cd-pilot-1.png"/>
                    <pic:cNvPicPr>
                      <a:picLocks noChangeAspect="1" noChangeArrowheads="1"/>
                    </pic:cNvPicPr>
                  </pic:nvPicPr>
                  <pic:blipFill>
                    <a:blip r:embed="rId29"/>
                    <a:stretch>
                      <a:fillRect/>
                    </a:stretch>
                  </pic:blipFill>
                  <pic:spPr bwMode="auto">
                    <a:xfrm>
                      <a:off x="0" y="0"/>
                      <a:ext cx="4587290" cy="3669832"/>
                    </a:xfrm>
                    <a:prstGeom prst="rect">
                      <a:avLst/>
                    </a:prstGeom>
                    <a:noFill/>
                    <a:ln w="9525">
                      <a:noFill/>
                      <a:headEnd/>
                      <a:tailEnd/>
                    </a:ln>
                  </pic:spPr>
                </pic:pic>
              </a:graphicData>
            </a:graphic>
          </wp:inline>
        </w:drawing>
      </w:r>
    </w:p>
    <w:p w14:paraId="2157F1BD" w14:textId="77777777" w:rsidR="009A62BA" w:rsidRDefault="00E926AA">
      <w:pPr>
        <w:pStyle w:val="ImageCaption"/>
      </w:pPr>
      <w:r>
        <w:rPr>
          <w:i/>
        </w:rPr>
        <w:t>Figure</w:t>
      </w:r>
      <w:r>
        <w:t xml:space="preserve"> </w:t>
      </w:r>
      <w:r>
        <w:rPr>
          <w:i/>
        </w:rPr>
        <w:t>4:</w:t>
      </w:r>
      <w:r>
        <w:t>.  Accuracy in the change detection task as a function of condition (feature addition or deletion) and set size. Error bars represent the standard error of the mean.</w:t>
      </w:r>
    </w:p>
    <w:p w14:paraId="45E1A113" w14:textId="77777777" w:rsidR="009A62BA" w:rsidRDefault="00E926AA">
      <w:pPr>
        <w:pStyle w:val="CaptionedFigure"/>
      </w:pPr>
      <w:r>
        <w:rPr>
          <w:noProof/>
          <w:lang w:bidi="he-IL"/>
        </w:rPr>
        <w:lastRenderedPageBreak/>
        <w:drawing>
          <wp:inline distT="0" distB="0" distL="0" distR="0" wp14:anchorId="2159D2EA" wp14:editId="0DFD2A5C">
            <wp:extent cx="4587290" cy="3669832"/>
            <wp:effectExtent l="0" t="0" r="0" b="0"/>
            <wp:docPr id="8" name="Picture" descr="Figure 5:.  Hit-rate in the change detection task (accuracy in change trials only) as a function of condition (feature addition or deletion) and set size. Error bars represent the standard error of the mean."/>
            <wp:cNvGraphicFramePr/>
            <a:graphic xmlns:a="http://schemas.openxmlformats.org/drawingml/2006/main">
              <a:graphicData uri="http://schemas.openxmlformats.org/drawingml/2006/picture">
                <pic:pic xmlns:pic="http://schemas.openxmlformats.org/drawingml/2006/picture">
                  <pic:nvPicPr>
                    <pic:cNvPr id="0" name="Picture" descr="asymmetry_files/figure-docx/cd-hit-rate-1.png"/>
                    <pic:cNvPicPr>
                      <a:picLocks noChangeAspect="1" noChangeArrowheads="1"/>
                    </pic:cNvPicPr>
                  </pic:nvPicPr>
                  <pic:blipFill>
                    <a:blip r:embed="rId30"/>
                    <a:stretch>
                      <a:fillRect/>
                    </a:stretch>
                  </pic:blipFill>
                  <pic:spPr bwMode="auto">
                    <a:xfrm>
                      <a:off x="0" y="0"/>
                      <a:ext cx="4587290" cy="3669832"/>
                    </a:xfrm>
                    <a:prstGeom prst="rect">
                      <a:avLst/>
                    </a:prstGeom>
                    <a:noFill/>
                    <a:ln w="9525">
                      <a:noFill/>
                      <a:headEnd/>
                      <a:tailEnd/>
                    </a:ln>
                  </pic:spPr>
                </pic:pic>
              </a:graphicData>
            </a:graphic>
          </wp:inline>
        </w:drawing>
      </w:r>
    </w:p>
    <w:p w14:paraId="7BED1F54" w14:textId="77777777" w:rsidR="009A62BA" w:rsidRDefault="00E926AA">
      <w:pPr>
        <w:pStyle w:val="ImageCaption"/>
      </w:pPr>
      <w:r>
        <w:rPr>
          <w:i/>
        </w:rPr>
        <w:t>Figure</w:t>
      </w:r>
      <w:r>
        <w:t xml:space="preserve"> </w:t>
      </w:r>
      <w:r>
        <w:rPr>
          <w:i/>
        </w:rPr>
        <w:t>5:</w:t>
      </w:r>
      <w:r>
        <w:t xml:space="preserve">.  Hit-rate in the change detection task (accuracy in change trials only) as a </w:t>
      </w:r>
      <w:r>
        <w:t>function of condition (feature addition or deletion) and set size. Error bars represent the standard error of the mean.</w:t>
      </w:r>
    </w:p>
    <w:sectPr w:rsidR="009A62BA" w:rsidSect="00CB20D0">
      <w:headerReference w:type="even" r:id="rId31"/>
      <w:headerReference w:type="default" r:id="rId32"/>
      <w:headerReference w:type="first" r:id="rId33"/>
      <w:pgSz w:w="12240" w:h="15840"/>
      <w:pgMar w:top="1417" w:right="1417" w:bottom="1134" w:left="1417"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67" w:author="Matan Mazor" w:date="2020-08-15T13:35:00Z" w:initials="MM">
    <w:p w14:paraId="1E0C5790" w14:textId="77777777" w:rsidR="00E84B49" w:rsidRDefault="00E84B49">
      <w:pPr>
        <w:pStyle w:val="CommentText"/>
      </w:pPr>
      <w:r>
        <w:rPr>
          <w:rStyle w:val="CommentReference"/>
        </w:rPr>
        <w:annotationRef/>
      </w:r>
      <w:r>
        <w:t>From here on, these are pilot experiments that will not be included, and are here just for Rani.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E0C5790"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0419CF" w14:textId="77777777" w:rsidR="00E926AA" w:rsidRDefault="00E926AA">
      <w:pPr>
        <w:spacing w:before="0" w:after="0" w:line="240" w:lineRule="auto"/>
      </w:pPr>
      <w:r>
        <w:separator/>
      </w:r>
    </w:p>
  </w:endnote>
  <w:endnote w:type="continuationSeparator" w:id="0">
    <w:p w14:paraId="4CB48FA1" w14:textId="77777777" w:rsidR="00E926AA" w:rsidRDefault="00E926A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B7032D" w14:textId="77777777" w:rsidR="00E926AA" w:rsidRDefault="00E926AA">
      <w:r>
        <w:separator/>
      </w:r>
    </w:p>
  </w:footnote>
  <w:footnote w:type="continuationSeparator" w:id="0">
    <w:p w14:paraId="10906042" w14:textId="77777777" w:rsidR="00E926AA" w:rsidRDefault="00E926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509259971"/>
      <w:docPartObj>
        <w:docPartGallery w:val="Page Numbers (Top of Page)"/>
        <w:docPartUnique/>
      </w:docPartObj>
    </w:sdtPr>
    <w:sdtEndPr>
      <w:rPr>
        <w:rStyle w:val="PageNumber"/>
      </w:rPr>
    </w:sdtEndPr>
    <w:sdtContent>
      <w:p w14:paraId="0D6ADD88" w14:textId="77777777" w:rsidR="00AF36ED" w:rsidRDefault="00E926AA"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7C1509E" w14:textId="77777777" w:rsidR="00AF36ED" w:rsidRDefault="00E926AA" w:rsidP="00AF36E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922177194"/>
      <w:docPartObj>
        <w:docPartGallery w:val="Page Numbers (Top of Page)"/>
        <w:docPartUnique/>
      </w:docPartObj>
    </w:sdtPr>
    <w:sdtEndPr>
      <w:rPr>
        <w:rStyle w:val="PageNumber"/>
      </w:rPr>
    </w:sdtEndPr>
    <w:sdtContent>
      <w:p w14:paraId="35E5E6AC" w14:textId="54B254CF" w:rsidR="00AF36ED" w:rsidRDefault="00E926AA"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F5E15">
          <w:rPr>
            <w:rStyle w:val="PageNumber"/>
            <w:noProof/>
          </w:rPr>
          <w:t>2</w:t>
        </w:r>
        <w:r>
          <w:rPr>
            <w:rStyle w:val="PageNumber"/>
          </w:rPr>
          <w:fldChar w:fldCharType="end"/>
        </w:r>
      </w:p>
    </w:sdtContent>
  </w:sdt>
  <w:p w14:paraId="4FCF2D20" w14:textId="77777777" w:rsidR="00AF36ED" w:rsidRPr="00AF36ED" w:rsidRDefault="00E926AA" w:rsidP="00572FF5">
    <w:pPr>
      <w:pStyle w:val="Header"/>
      <w:ind w:right="357"/>
      <w:rPr>
        <w:lang w:val="de-DE"/>
      </w:rPr>
    </w:pPr>
    <w:r w:rsidRPr="005036C4">
      <w:t>asymmetry</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503596050"/>
      <w:docPartObj>
        <w:docPartGallery w:val="Page Numbers (Top of Page)"/>
        <w:docPartUnique/>
      </w:docPartObj>
    </w:sdtPr>
    <w:sdtEndPr>
      <w:rPr>
        <w:rStyle w:val="PageNumber"/>
      </w:rPr>
    </w:sdtEndPr>
    <w:sdtContent>
      <w:p w14:paraId="3F3994CB" w14:textId="2420C32C" w:rsidR="00CB20D0" w:rsidRDefault="00E926AA" w:rsidP="00CB20D0">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F5E15">
          <w:rPr>
            <w:rStyle w:val="PageNumber"/>
            <w:noProof/>
          </w:rPr>
          <w:t>1</w:t>
        </w:r>
        <w:r>
          <w:rPr>
            <w:rStyle w:val="PageNumber"/>
          </w:rPr>
          <w:fldChar w:fldCharType="end"/>
        </w:r>
      </w:p>
    </w:sdtContent>
  </w:sdt>
  <w:p w14:paraId="1F0DF7FB" w14:textId="77777777" w:rsidR="00CB20D0" w:rsidRPr="00CB20D0" w:rsidRDefault="00E926AA" w:rsidP="00CB20D0">
    <w:pPr>
      <w:pStyle w:val="Header"/>
      <w:ind w:right="357"/>
      <w:rPr>
        <w:lang w:val="de-DE"/>
      </w:rPr>
    </w:pPr>
    <w:r w:rsidRPr="005036C4">
      <w:t>Running head: asy</w:t>
    </w:r>
    <w:r w:rsidRPr="005036C4">
      <w:t>mmetry</w:t>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3CBBDEE"/>
    <w:multiLevelType w:val="multilevel"/>
    <w:tmpl w:val="45CC0E28"/>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1" w15:restartNumberingAfterBreak="0">
    <w:nsid w:val="EA454B4C"/>
    <w:multiLevelType w:val="multilevel"/>
    <w:tmpl w:val="2CDC7EB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FFFFFF7C"/>
    <w:multiLevelType w:val="singleLevel"/>
    <w:tmpl w:val="EC6A2DF6"/>
    <w:lvl w:ilvl="0">
      <w:start w:val="1"/>
      <w:numFmt w:val="decimal"/>
      <w:lvlText w:val="%1."/>
      <w:lvlJc w:val="left"/>
      <w:pPr>
        <w:tabs>
          <w:tab w:val="num" w:pos="1492"/>
        </w:tabs>
        <w:ind w:left="1492" w:hanging="360"/>
      </w:pPr>
    </w:lvl>
  </w:abstractNum>
  <w:abstractNum w:abstractNumId="3" w15:restartNumberingAfterBreak="0">
    <w:nsid w:val="FFFFFF7D"/>
    <w:multiLevelType w:val="singleLevel"/>
    <w:tmpl w:val="8C621322"/>
    <w:lvl w:ilvl="0">
      <w:start w:val="1"/>
      <w:numFmt w:val="decimal"/>
      <w:lvlText w:val="%1."/>
      <w:lvlJc w:val="left"/>
      <w:pPr>
        <w:tabs>
          <w:tab w:val="num" w:pos="1209"/>
        </w:tabs>
        <w:ind w:left="1209" w:hanging="360"/>
      </w:pPr>
    </w:lvl>
  </w:abstractNum>
  <w:abstractNum w:abstractNumId="4" w15:restartNumberingAfterBreak="0">
    <w:nsid w:val="FFFFFF7E"/>
    <w:multiLevelType w:val="singleLevel"/>
    <w:tmpl w:val="62BAE314"/>
    <w:lvl w:ilvl="0">
      <w:start w:val="1"/>
      <w:numFmt w:val="decimal"/>
      <w:lvlText w:val="%1."/>
      <w:lvlJc w:val="left"/>
      <w:pPr>
        <w:tabs>
          <w:tab w:val="num" w:pos="926"/>
        </w:tabs>
        <w:ind w:left="926" w:hanging="360"/>
      </w:pPr>
    </w:lvl>
  </w:abstractNum>
  <w:abstractNum w:abstractNumId="5" w15:restartNumberingAfterBreak="0">
    <w:nsid w:val="FFFFFF7F"/>
    <w:multiLevelType w:val="singleLevel"/>
    <w:tmpl w:val="24507FF6"/>
    <w:lvl w:ilvl="0">
      <w:start w:val="1"/>
      <w:numFmt w:val="decimal"/>
      <w:lvlText w:val="%1."/>
      <w:lvlJc w:val="left"/>
      <w:pPr>
        <w:tabs>
          <w:tab w:val="num" w:pos="643"/>
        </w:tabs>
        <w:ind w:left="643" w:hanging="360"/>
      </w:pPr>
    </w:lvl>
  </w:abstractNum>
  <w:abstractNum w:abstractNumId="6" w15:restartNumberingAfterBreak="0">
    <w:nsid w:val="FFFFFF80"/>
    <w:multiLevelType w:val="singleLevel"/>
    <w:tmpl w:val="D4C896B2"/>
    <w:lvl w:ilvl="0">
      <w:start w:val="1"/>
      <w:numFmt w:val="bullet"/>
      <w:lvlText w:val=""/>
      <w:lvlJc w:val="left"/>
      <w:pPr>
        <w:tabs>
          <w:tab w:val="num" w:pos="1492"/>
        </w:tabs>
        <w:ind w:left="1492" w:hanging="360"/>
      </w:pPr>
      <w:rPr>
        <w:rFonts w:ascii="Symbol" w:hAnsi="Symbol" w:hint="default"/>
      </w:rPr>
    </w:lvl>
  </w:abstractNum>
  <w:abstractNum w:abstractNumId="7" w15:restartNumberingAfterBreak="0">
    <w:nsid w:val="FFFFFF81"/>
    <w:multiLevelType w:val="singleLevel"/>
    <w:tmpl w:val="B6B486D6"/>
    <w:lvl w:ilvl="0">
      <w:start w:val="1"/>
      <w:numFmt w:val="bullet"/>
      <w:lvlText w:val=""/>
      <w:lvlJc w:val="left"/>
      <w:pPr>
        <w:tabs>
          <w:tab w:val="num" w:pos="1209"/>
        </w:tabs>
        <w:ind w:left="1209" w:hanging="360"/>
      </w:pPr>
      <w:rPr>
        <w:rFonts w:ascii="Symbol" w:hAnsi="Symbol" w:hint="default"/>
      </w:rPr>
    </w:lvl>
  </w:abstractNum>
  <w:abstractNum w:abstractNumId="8" w15:restartNumberingAfterBreak="0">
    <w:nsid w:val="FFFFFF82"/>
    <w:multiLevelType w:val="singleLevel"/>
    <w:tmpl w:val="4282EB32"/>
    <w:lvl w:ilvl="0">
      <w:start w:val="1"/>
      <w:numFmt w:val="bullet"/>
      <w:lvlText w:val=""/>
      <w:lvlJc w:val="left"/>
      <w:pPr>
        <w:tabs>
          <w:tab w:val="num" w:pos="926"/>
        </w:tabs>
        <w:ind w:left="926" w:hanging="360"/>
      </w:pPr>
      <w:rPr>
        <w:rFonts w:ascii="Symbol" w:hAnsi="Symbol" w:hint="default"/>
      </w:rPr>
    </w:lvl>
  </w:abstractNum>
  <w:abstractNum w:abstractNumId="9" w15:restartNumberingAfterBreak="0">
    <w:nsid w:val="FFFFFF83"/>
    <w:multiLevelType w:val="singleLevel"/>
    <w:tmpl w:val="7B8633C2"/>
    <w:lvl w:ilvl="0">
      <w:start w:val="1"/>
      <w:numFmt w:val="bullet"/>
      <w:lvlText w:val=""/>
      <w:lvlJc w:val="left"/>
      <w:pPr>
        <w:tabs>
          <w:tab w:val="num" w:pos="643"/>
        </w:tabs>
        <w:ind w:left="643" w:hanging="360"/>
      </w:pPr>
      <w:rPr>
        <w:rFonts w:ascii="Symbol" w:hAnsi="Symbol" w:hint="default"/>
      </w:rPr>
    </w:lvl>
  </w:abstractNum>
  <w:abstractNum w:abstractNumId="10" w15:restartNumberingAfterBreak="0">
    <w:nsid w:val="FFFFFF88"/>
    <w:multiLevelType w:val="singleLevel"/>
    <w:tmpl w:val="8D1AAEEA"/>
    <w:lvl w:ilvl="0">
      <w:start w:val="1"/>
      <w:numFmt w:val="decimal"/>
      <w:lvlText w:val="%1."/>
      <w:lvlJc w:val="left"/>
      <w:pPr>
        <w:tabs>
          <w:tab w:val="num" w:pos="360"/>
        </w:tabs>
        <w:ind w:left="360" w:hanging="360"/>
      </w:pPr>
    </w:lvl>
  </w:abstractNum>
  <w:abstractNum w:abstractNumId="11" w15:restartNumberingAfterBreak="0">
    <w:nsid w:val="FFFFFF89"/>
    <w:multiLevelType w:val="singleLevel"/>
    <w:tmpl w:val="1E585DB0"/>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47261BAD"/>
    <w:multiLevelType w:val="multilevel"/>
    <w:tmpl w:val="75A6D852"/>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15" w15:restartNumberingAfterBreak="0">
    <w:nsid w:val="4FBE019A"/>
    <w:multiLevelType w:val="multilevel"/>
    <w:tmpl w:val="9AEE4494"/>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16" w15:restartNumberingAfterBreak="0">
    <w:nsid w:val="71315DCA"/>
    <w:multiLevelType w:val="multilevel"/>
    <w:tmpl w:val="F0768AEE"/>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
    <w:abstractNumId w:val="12"/>
  </w:num>
  <w:num w:numId="2">
    <w:abstractNumId w:val="12"/>
  </w:num>
  <w:num w:numId="3">
    <w:abstractNumId w:val="13"/>
  </w:num>
  <w:num w:numId="4">
    <w:abstractNumId w:val="2"/>
  </w:num>
  <w:num w:numId="5">
    <w:abstractNumId w:val="3"/>
  </w:num>
  <w:num w:numId="6">
    <w:abstractNumId w:val="4"/>
  </w:num>
  <w:num w:numId="7">
    <w:abstractNumId w:val="5"/>
  </w:num>
  <w:num w:numId="8">
    <w:abstractNumId w:val="10"/>
  </w:num>
  <w:num w:numId="9">
    <w:abstractNumId w:val="6"/>
  </w:num>
  <w:num w:numId="10">
    <w:abstractNumId w:val="7"/>
  </w:num>
  <w:num w:numId="11">
    <w:abstractNumId w:val="8"/>
  </w:num>
  <w:num w:numId="12">
    <w:abstractNumId w:val="9"/>
  </w:num>
  <w:num w:numId="13">
    <w:abstractNumId w:val="11"/>
  </w:num>
  <w:num w:numId="14">
    <w:abstractNumId w:val="13"/>
  </w:num>
  <w:num w:numId="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
    <w:abstractNumId w:val="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
    <w:abstractNumId w:val="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atan Mazor">
    <w15:presenceInfo w15:providerId="None" w15:userId="Matan Maz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590D07"/>
    <w:rsid w:val="00011C8B"/>
    <w:rsid w:val="004E29B3"/>
    <w:rsid w:val="00590D07"/>
    <w:rsid w:val="00784D58"/>
    <w:rsid w:val="008D6863"/>
    <w:rsid w:val="009A62BA"/>
    <w:rsid w:val="00B86B75"/>
    <w:rsid w:val="00BC48D5"/>
    <w:rsid w:val="00C36279"/>
    <w:rsid w:val="00DF5E15"/>
    <w:rsid w:val="00E315A3"/>
    <w:rsid w:val="00E84B49"/>
    <w:rsid w:val="00E926AA"/>
  </w:rsids>
  <m:mathPr>
    <m:mathFont m:val="Cambria Math"/>
    <m:brkBin m:val="before"/>
    <m:brkBinSub m:val="--"/>
    <m:smallFrac m:val="0"/>
    <m:dispDef m:val="0"/>
    <m:lMargin m:val="0"/>
    <m:rMargin m:val="0"/>
    <m:defJc m:val="centerGroup"/>
    <m:wrapRight/>
    <m:intLim m:val="subSup"/>
    <m:naryLim m:val="subSup"/>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58844"/>
  <w15:docId w15:val="{7BC0F75F-C334-48AF-B683-1F5E31F05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2FF5"/>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Heading1"/>
    <w:next w:val="BodyText"/>
    <w:uiPriority w:val="9"/>
    <w:unhideWhenUsed/>
    <w:qFormat/>
    <w:rsid w:val="00AB6A32"/>
    <w:pPr>
      <w:spacing w:before="200"/>
      <w:jc w:val="left"/>
      <w:outlineLvl w:val="1"/>
    </w:pPr>
    <w:rPr>
      <w:bCs w:val="0"/>
    </w:rPr>
  </w:style>
  <w:style w:type="paragraph" w:styleId="Heading3">
    <w:name w:val="heading 3"/>
    <w:basedOn w:val="Heading2"/>
    <w:next w:val="Normal"/>
    <w:uiPriority w:val="9"/>
    <w:unhideWhenUsed/>
    <w:qFormat/>
    <w:rsid w:val="007F2EC5"/>
    <w:pPr>
      <w:framePr w:wrap="around" w:vAnchor="text" w:hAnchor="text" w:y="1"/>
      <w:spacing w:before="0" w:line="240" w:lineRule="auto"/>
      <w:ind w:firstLine="680"/>
      <w:outlineLvl w:val="2"/>
    </w:pPr>
    <w:rPr>
      <w:bCs/>
      <w:szCs w:val="28"/>
    </w:rPr>
  </w:style>
  <w:style w:type="paragraph" w:styleId="Heading4">
    <w:name w:val="heading 4"/>
    <w:basedOn w:val="Heading3"/>
    <w:next w:val="BodyText"/>
    <w:uiPriority w:val="9"/>
    <w:unhideWhenUsed/>
    <w:qFormat/>
    <w:rsid w:val="00F0724A"/>
    <w:pPr>
      <w:framePr w:wrap="around"/>
      <w:outlineLvl w:val="3"/>
    </w:pPr>
    <w:rPr>
      <w:bCs w:val="0"/>
      <w:i/>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006D3F"/>
    <w:pPr>
      <w:spacing w:before="0"/>
    </w:pPr>
  </w:style>
  <w:style w:type="table" w:customStyle="1" w:styleId="Table">
    <w:name w:val="Table"/>
    <w:basedOn w:val="TableNormal"/>
    <w:uiPriority w:val="99"/>
    <w:rsid w:val="00141BA7"/>
    <w:pPr>
      <w:spacing w:after="0"/>
    </w:pPr>
    <w:rPr>
      <w:rFonts w:ascii="Times New Roman" w:hAnsi="Times New Roman"/>
    </w:rPr>
    <w:tblPr>
      <w:tblBorders>
        <w:top w:val="single" w:sz="12" w:space="0" w:color="auto"/>
        <w:bottom w:val="single" w:sz="4" w:space="0" w:color="auto"/>
      </w:tblBorders>
    </w:tbl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06D3F"/>
    <w:pPr>
      <w:keepNext/>
    </w:pPr>
  </w:style>
  <w:style w:type="paragraph" w:customStyle="1" w:styleId="ImageCaption">
    <w:name w:val="Image Caption"/>
    <w:basedOn w:val="Caption"/>
    <w:rsid w:val="00421B26"/>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nhideWhenUsed/>
    <w:rsid w:val="00AF36ED"/>
    <w:pPr>
      <w:tabs>
        <w:tab w:val="center" w:pos="4536"/>
        <w:tab w:val="right" w:pos="9072"/>
      </w:tabs>
      <w:spacing w:after="0"/>
    </w:pPr>
  </w:style>
  <w:style w:type="character" w:customStyle="1" w:styleId="HeaderChar">
    <w:name w:val="Header Char"/>
    <w:basedOn w:val="DefaultParagraphFont"/>
    <w:link w:val="Header"/>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006D3F"/>
    <w:pPr>
      <w:pageBreakBefore/>
    </w:p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rsid w:val="00F14702"/>
    <w:rPr>
      <w:b/>
      <w:bCs/>
      <w:i/>
      <w:iCs/>
      <w:spacing w:val="5"/>
    </w:rPr>
  </w:style>
  <w:style w:type="character" w:styleId="CommentReference">
    <w:name w:val="annotation reference"/>
    <w:basedOn w:val="DefaultParagraphFont"/>
    <w:semiHidden/>
    <w:unhideWhenUsed/>
    <w:rsid w:val="00E84B49"/>
    <w:rPr>
      <w:sz w:val="16"/>
      <w:szCs w:val="16"/>
    </w:rPr>
  </w:style>
  <w:style w:type="paragraph" w:styleId="CommentText">
    <w:name w:val="annotation text"/>
    <w:basedOn w:val="Normal"/>
    <w:link w:val="CommentTextChar"/>
    <w:semiHidden/>
    <w:unhideWhenUsed/>
    <w:rsid w:val="00E84B49"/>
    <w:pPr>
      <w:spacing w:line="240" w:lineRule="auto"/>
    </w:pPr>
    <w:rPr>
      <w:sz w:val="20"/>
      <w:szCs w:val="20"/>
    </w:rPr>
  </w:style>
  <w:style w:type="character" w:customStyle="1" w:styleId="CommentTextChar">
    <w:name w:val="Comment Text Char"/>
    <w:basedOn w:val="DefaultParagraphFont"/>
    <w:link w:val="CommentText"/>
    <w:semiHidden/>
    <w:rsid w:val="00E84B49"/>
    <w:rPr>
      <w:rFonts w:ascii="Times New Roman" w:hAnsi="Times New Roman"/>
      <w:sz w:val="20"/>
      <w:szCs w:val="20"/>
    </w:rPr>
  </w:style>
  <w:style w:type="paragraph" w:styleId="CommentSubject">
    <w:name w:val="annotation subject"/>
    <w:basedOn w:val="CommentText"/>
    <w:next w:val="CommentText"/>
    <w:link w:val="CommentSubjectChar"/>
    <w:semiHidden/>
    <w:unhideWhenUsed/>
    <w:rsid w:val="00E84B49"/>
    <w:rPr>
      <w:b/>
      <w:bCs/>
    </w:rPr>
  </w:style>
  <w:style w:type="character" w:customStyle="1" w:styleId="CommentSubjectChar">
    <w:name w:val="Comment Subject Char"/>
    <w:basedOn w:val="CommentTextChar"/>
    <w:link w:val="CommentSubject"/>
    <w:semiHidden/>
    <w:rsid w:val="00E84B49"/>
    <w:rPr>
      <w:rFonts w:ascii="Times New Roman" w:hAnsi="Times New Roman"/>
      <w:b/>
      <w:bCs/>
      <w:sz w:val="20"/>
      <w:szCs w:val="20"/>
    </w:rPr>
  </w:style>
  <w:style w:type="paragraph" w:styleId="BalloonText">
    <w:name w:val="Balloon Text"/>
    <w:basedOn w:val="Normal"/>
    <w:link w:val="BalloonTextChar"/>
    <w:semiHidden/>
    <w:unhideWhenUsed/>
    <w:rsid w:val="00E84B49"/>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semiHidden/>
    <w:rsid w:val="00E84B4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matanmazor/asymmetry/blob/master/Experiments/Q_in_O/results/pilot/jatos_results_batch3.csv" TargetMode="External"/><Relationship Id="rId18" Type="http://schemas.openxmlformats.org/officeDocument/2006/relationships/hyperlink" Target="https://www.R-project.org/" TargetMode="External"/><Relationship Id="rId26" Type="http://schemas.openxmlformats.org/officeDocument/2006/relationships/comments" Target="comments.xml"/><Relationship Id="rId3" Type="http://schemas.openxmlformats.org/officeDocument/2006/relationships/settings" Target="settings.xml"/><Relationship Id="rId21" Type="http://schemas.openxmlformats.org/officeDocument/2006/relationships/hyperlink" Target="https://CRAN.R-project.org/package=dplyr" TargetMode="External"/><Relationship Id="rId34" Type="http://schemas.openxmlformats.org/officeDocument/2006/relationships/fontTable" Target="fontTable.xml"/><Relationship Id="rId7" Type="http://schemas.openxmlformats.org/officeDocument/2006/relationships/hyperlink" Target="mailto:mtnmzor@gmail.com" TargetMode="External"/><Relationship Id="rId12" Type="http://schemas.openxmlformats.org/officeDocument/2006/relationships/hyperlink" Target="https://github.com/matanmazor/asymmetry" TargetMode="External"/><Relationship Id="rId17" Type="http://schemas.openxmlformats.org/officeDocument/2006/relationships/hyperlink" Target="https://CRAN.R-project.org/package=BayesFactor" TargetMode="External"/><Relationship Id="rId25" Type="http://schemas.openxmlformats.org/officeDocument/2006/relationships/image" Target="media/image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s://doi.org/10.32614/RJ-2018-017" TargetMode="External"/><Relationship Id="rId20" Type="http://schemas.openxmlformats.org/officeDocument/2006/relationships/hyperlink" Target="https://ggplot2.tidyverse.org" TargetMode="External"/><Relationship Id="rId29"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4.png"/><Relationship Id="rId32"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github.com/crsh/papaja" TargetMode="External"/><Relationship Id="rId23" Type="http://schemas.openxmlformats.org/officeDocument/2006/relationships/hyperlink" Target="https://CRAN.R-project.org/package=cowplot" TargetMode="External"/><Relationship Id="rId28" Type="http://schemas.openxmlformats.org/officeDocument/2006/relationships/image" Target="media/image6.png"/><Relationship Id="rId36" Type="http://schemas.openxmlformats.org/officeDocument/2006/relationships/theme" Target="theme/theme1.xml"/><Relationship Id="rId10" Type="http://schemas.openxmlformats.org/officeDocument/2006/relationships/hyperlink" Target="http://167.99.93.4/publix/13/start?batchId=45&amp;generalMultiple" TargetMode="External"/><Relationship Id="rId19" Type="http://schemas.openxmlformats.org/officeDocument/2006/relationships/hyperlink" Target="https://CRAN.R-project.org/package=broom"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matanmazor/asymmetry" TargetMode="External"/><Relationship Id="rId22" Type="http://schemas.openxmlformats.org/officeDocument/2006/relationships/hyperlink" Target="https://CRAN.R-project.org/package=tidyr" TargetMode="External"/><Relationship Id="rId27" Type="http://schemas.microsoft.com/office/2011/relationships/commentsExtended" Target="commentsExtended.xml"/><Relationship Id="rId30" Type="http://schemas.openxmlformats.org/officeDocument/2006/relationships/image" Target="media/image8.png"/><Relationship Id="rId35"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7344</Words>
  <Characters>41861</Characters>
  <Application>Microsoft Office Word</Application>
  <DocSecurity>0</DocSecurity>
  <Lines>348</Lines>
  <Paragraphs>98</Paragraphs>
  <ScaleCrop>false</ScaleCrop>
  <HeadingPairs>
    <vt:vector size="2" baseType="variant">
      <vt:variant>
        <vt:lpstr>Titel</vt:lpstr>
      </vt:variant>
      <vt:variant>
        <vt:i4>1</vt:i4>
      </vt:variant>
    </vt:vector>
  </HeadingPairs>
  <TitlesOfParts>
    <vt:vector size="1" baseType="lpstr">
      <vt:lpstr>Untitled</vt:lpstr>
    </vt:vector>
  </TitlesOfParts>
  <Company/>
  <LinksUpToDate>false</LinksUpToDate>
  <CharactersWithSpaces>49107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Metacognitive and search asymmetries for feature presence and absence</dc:title>
  <dc:creator/>
  <cp:keywords/>
  <cp:lastModifiedBy>Matan Mazor</cp:lastModifiedBy>
  <cp:revision>3</cp:revision>
  <dcterms:created xsi:type="dcterms:W3CDTF">2020-08-15T10:34:00Z</dcterms:created>
  <dcterms:modified xsi:type="dcterms:W3CDTF">2020-08-15T10:35:00Z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r-references.bib</vt:lpwstr>
  </property>
  <property fmtid="{D5CDD505-2E9C-101B-9397-08002B2CF9AE}" pid="4" name="classoption">
    <vt:lpwstr>man</vt:lpwstr>
  </property>
  <property fmtid="{D5CDD505-2E9C-101B-9397-08002B2CF9AE}" pid="5" name="csl">
    <vt:lpwstr>C:\Users\mmazor\Documents\R\R-3.6.0\library\papaja\rmd\apa6.csl</vt:lpwstr>
  </property>
  <property fmtid="{D5CDD505-2E9C-101B-9397-08002B2CF9AE}" pid="6" name="documentclass">
    <vt:lpwstr>apa6</vt:lpwstr>
  </property>
  <property fmtid="{D5CDD505-2E9C-101B-9397-08002B2CF9AE}" pid="7" name="draft">
    <vt:lpwstr>no</vt:lpwstr>
  </property>
  <property fmtid="{D5CDD505-2E9C-101B-9397-08002B2CF9AE}" pid="8" name="figurelist">
    <vt:lpwstr>no</vt:lpwstr>
  </property>
  <property fmtid="{D5CDD505-2E9C-101B-9397-08002B2CF9AE}" pid="9" name="floatsintext">
    <vt:lpwstr>yes</vt:lpwstr>
  </property>
  <property fmtid="{D5CDD505-2E9C-101B-9397-08002B2CF9AE}" pid="10" name="footnotelist">
    <vt:lpwstr>no</vt:lpwstr>
  </property>
  <property fmtid="{D5CDD505-2E9C-101B-9397-08002B2CF9AE}" pid="11" name="linenumbers">
    <vt:lpwstr>yes</vt:lpwstr>
  </property>
  <property fmtid="{D5CDD505-2E9C-101B-9397-08002B2CF9AE}" pid="12" name="mask">
    <vt:lpwstr>no</vt:lpwstr>
  </property>
  <property fmtid="{D5CDD505-2E9C-101B-9397-08002B2CF9AE}" pid="13" name="output">
    <vt:lpwstr>papaja::apa6_word</vt:lpwstr>
  </property>
  <property fmtid="{D5CDD505-2E9C-101B-9397-08002B2CF9AE}" pid="14" name="shorttitle">
    <vt:lpwstr>asymmetry</vt:lpwstr>
  </property>
  <property fmtid="{D5CDD505-2E9C-101B-9397-08002B2CF9AE}" pid="15" name="tablelist">
    <vt:lpwstr>no</vt:lpwstr>
  </property>
  <property fmtid="{D5CDD505-2E9C-101B-9397-08002B2CF9AE}" pid="16" name="wordcount">
    <vt:lpwstr>5686</vt:lpwstr>
  </property>
</Properties>
</file>