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96.png" ContentType="image/png"/>
  <Override PartName="/word/media/rId98.png" ContentType="image/png"/>
  <Override PartName="/word/media/rId22.png" ContentType="image/png"/>
  <Override PartName="/word/media/rId28.png" ContentType="image/png"/>
  <Override PartName="/word/media/rId23.png" ContentType="image/png"/>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Metacognitive</w:t>
      </w:r>
      <w:r>
        <w:t xml:space="preserve"> </w:t>
      </w:r>
      <w:r>
        <w:t xml:space="preserve">and</w:t>
      </w:r>
      <w:r>
        <w:t xml:space="preserve"> </w:t>
      </w:r>
      <w:r>
        <w:t xml:space="preserve">search</w:t>
      </w:r>
      <w:r>
        <w:t xml:space="preserve"> </w:t>
      </w:r>
      <w:r>
        <w:t xml:space="preserve">asymmetries</w:t>
      </w:r>
      <w:r>
        <w:t xml:space="preserve"> </w:t>
      </w:r>
      <w:r>
        <w:t xml:space="preserve">for</w:t>
      </w:r>
      <w:r>
        <w:t xml:space="preserve"> </w:t>
      </w:r>
      <w:r>
        <w:t xml:space="preserve">feature</w:t>
      </w:r>
      <w:r>
        <w:t xml:space="preserve"> </w:t>
      </w:r>
      <w:r>
        <w:t xml:space="preserve">presence</w:t>
      </w:r>
      <w:r>
        <w:t xml:space="preserve"> </w:t>
      </w:r>
      <w:r>
        <w:t xml:space="preserve">and</w:t>
      </w:r>
      <w:r>
        <w:t xml:space="preserve"> </w:t>
      </w:r>
      <w:r>
        <w:t xml:space="preserve">absence</w:t>
      </w:r>
    </w:p>
    <w:p>
      <w:pPr>
        <w:pStyle w:val="Author"/>
      </w:pPr>
      <w:r>
        <w:t xml:space="preserve">Matan Mazor</w:t>
      </w:r>
      <w:r>
        <w:rPr>
          <w:vertAlign w:val="superscript"/>
        </w:rPr>
        <w:t xml:space="preserve">1</w:t>
      </w:r>
      <w:r>
        <w:t xml:space="preserve">, Rani Moran</w:t>
      </w:r>
      <w:r>
        <w:rPr>
          <w:vertAlign w:val="superscript"/>
        </w:rPr>
        <w:t xml:space="preserve">2</w:t>
      </w:r>
      <w:r>
        <w:t xml:space="preserve">, &amp; Stephen M. Fleming</w:t>
      </w:r>
      <w:r>
        <w:rPr>
          <w:vertAlign w:val="superscript"/>
        </w:rPr>
        <w:t xml:space="preserve">1,2,3</w:t>
      </w:r>
    </w:p>
    <w:p>
      <w:pPr>
        <w:pStyle w:val="Author"/>
      </w:pPr>
      <w:r>
        <w:rPr>
          <w:vertAlign w:val="superscript"/>
        </w:rPr>
        <w:t xml:space="preserve">1</w:t>
      </w:r>
      <w:r>
        <w:t xml:space="preserve"> </w:t>
      </w:r>
      <w:r>
        <w:t xml:space="preserve">Wellcome Centre for Human Neuroimaging, UCL</w:t>
      </w:r>
    </w:p>
    <w:p>
      <w:pPr>
        <w:pStyle w:val="Author"/>
      </w:pPr>
      <w:r>
        <w:rPr>
          <w:vertAlign w:val="superscript"/>
        </w:rPr>
        <w:t xml:space="preserve">2</w:t>
      </w:r>
      <w:r>
        <w:t xml:space="preserve"> </w:t>
      </w:r>
      <w:r>
        <w:t xml:space="preserve">Max Planck UCL Centre for Computational Psychiatry and Ageing Research</w:t>
      </w:r>
    </w:p>
    <w:p>
      <w:pPr>
        <w:pStyle w:val="Author"/>
      </w:pPr>
      <w:r>
        <w:rPr>
          <w:vertAlign w:val="superscript"/>
        </w:rPr>
        <w:t xml:space="preserve">3</w:t>
      </w:r>
      <w:r>
        <w:t xml:space="preserve"> </w:t>
      </w:r>
      <w:r>
        <w:t xml:space="preserve">Department of Experimental Psychology, UCL</w:t>
      </w:r>
    </w:p>
    <w:p>
      <w:pPr>
        <w:pStyle w:val="Compact"/>
      </w:pPr>
      <w:r>
        <w:t xml:space="preserve">                                                                                                                                                    </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Author"/>
      </w:pPr>
      <w:r>
        <w:t xml:space="preserve">Author note</w:t>
      </w:r>
    </w:p>
    <w:p>
      <w:pPr>
        <w:pStyle w:val="Textkrper"/>
      </w:pPr>
      <w:r>
        <w:t xml:space="preserve">Correspondence concerning this article should be addressed to Matan Mazor, 12 Queen Square, London WC1N 3BG. E-mail:</w:t>
      </w:r>
      <w:r>
        <w:t xml:space="preserve"> </w:t>
      </w:r>
      <w:hyperlink r:id="rId20">
        <w:r>
          <w:rPr>
            <w:rStyle w:val="Hyperlink"/>
          </w:rPr>
          <w:t xml:space="preserve">mtnmzor@gmail.com</w:t>
        </w:r>
      </w:hyperlink>
    </w:p>
    <w:p>
      <w:pPr>
        <w:pStyle w:val="Compact"/>
        <w:pStyle w:val="Titel"/>
      </w:pPr>
      <w:r>
        <w:t xml:space="preserve">Abstract</w:t>
      </w:r>
    </w:p>
    <w:p>
      <w:pPr>
        <w:pStyle w:val="Textkrper"/>
      </w:pPr>
      <w:r>
        <w:t xml:space="preserve">Human and animal subjects generally find it more difficult to infer, represent, and attend to absence than to presence. In visual search, the presence/absence asymmetry has been demonstrated not only for the presence or absence of entire objects, but also of stimulus features. Furthermore, search asymmetry has also been found for familiarity and prototypicality, suggesting a more general asymmetry between default-complying and deviating stimuli. Using stimulus pairs that have been shown to induce asymmetries in visual search in conjunction with a metacognitive asymmetry for detection judgments, here we ask whether these feature-level asymmetries reflect one homogeneous effect or several different ones.</w:t>
      </w:r>
    </w:p>
    <w:p>
      <w:pPr>
        <w:pStyle w:val="Textkrper"/>
      </w:pPr>
      <w:r>
        <w:rPr>
          <w:i/>
        </w:rPr>
        <w:t xml:space="preserve">Keywords:</w:t>
      </w:r>
      <w:r>
        <w:t xml:space="preserve"> </w:t>
      </w:r>
      <w:r>
        <w:t xml:space="preserve">metacognition, visual search, attention</w:t>
      </w:r>
    </w:p>
    <w:p>
      <w:pPr>
        <w:pStyle w:val="Textkrper"/>
      </w:pPr>
      <w:r>
        <w:rPr>
          <w:i/>
        </w:rPr>
        <w:t xml:space="preserve">Word count:</w:t>
      </w:r>
      <w:r>
        <w:t xml:space="preserve"> </w:t>
      </w:r>
      <w:r>
        <w:t xml:space="preserve">4162</w:t>
      </w:r>
    </w:p>
    <w:p>
      <w:pPr>
        <w:pStyle w:val="Compact"/>
        <w:pStyle w:val="Titel"/>
      </w:pPr>
      <w:r>
        <w:t xml:space="preserve">Metacognitive and search asymmetries for feature presence and absence</w:t>
      </w:r>
    </w:p>
    <w:p>
      <w:pPr>
        <w:pStyle w:val="berschrift1"/>
      </w:pPr>
      <w:bookmarkStart w:id="21" w:name="introduction"/>
      <w:r>
        <w:t xml:space="preserve">Introduction</w:t>
      </w:r>
      <w:bookmarkEnd w:id="21"/>
    </w:p>
    <w:p>
      <w:pPr>
        <w:pStyle w:val="FirstParagraph"/>
      </w:pPr>
      <w:r>
        <w:t xml:space="preserve">At any given moment, there are many more things that are not there than things that are there. As a result, and in order to efficiently represent the environment, perceptual and cognitive systems have evolved to represent presences, and absence is assumed as a default state</w:t>
      </w:r>
      <w:r>
        <w:t xml:space="preserve"> </w:t>
      </w:r>
      <w:r>
        <w:t xml:space="preserve">(Oaksford, 2002; Oaksford &amp; Chater, 2001)</w:t>
      </w:r>
      <w:r>
        <w:t xml:space="preserve">. One corollary of this is that presence can be inferred from bottom-up sensory signals, but absence is never explicitly represented in sensory channels and must instead by inferred based on top-down expectations about the likelihood of detecting a hypothetical signal, had it been present. This form of higher-order inference-about-absence is known as</w:t>
      </w:r>
      <w:r>
        <w:t xml:space="preserve"> </w:t>
      </w:r>
      <w:r>
        <w:rPr>
          <w:i/>
        </w:rPr>
        <w:t xml:space="preserve">argument from epistemic closure</w:t>
      </w:r>
      <w:r>
        <w:t xml:space="preserve">, or</w:t>
      </w:r>
      <w:r>
        <w:t xml:space="preserve"> </w:t>
      </w:r>
      <w:r>
        <w:rPr>
          <w:i/>
        </w:rPr>
        <w:t xml:space="preserve">argument from self knowledge</w:t>
      </w:r>
      <w:r>
        <w:t xml:space="preserve"> </w:t>
      </w:r>
      <w:r>
        <w:t xml:space="preserve">(</w:t>
      </w:r>
      <w:r>
        <w:rPr>
          <w:i/>
        </w:rPr>
        <w:t xml:space="preserve">If it was true, I would have known it</w:t>
      </w:r>
      <w:r>
        <w:t xml:space="preserve">; Walton, 1992; De Cornulier, 1988)</w:t>
      </w:r>
      <w:r>
        <w:t xml:space="preserve">.</w:t>
      </w:r>
    </w:p>
    <w:p>
      <w:pPr>
        <w:pStyle w:val="Textkrper"/>
      </w:pPr>
      <w:r>
        <w:t xml:space="preserve">Experiments on human subjects suggest that representing the absence of things is more cognitively demanding than representing their presence, even in simple perceptual tasks. This is evident in slower reactions to stimulus absence than stimulus presence in visual search</w:t>
      </w:r>
      <w:r>
        <w:t xml:space="preserve"> </w:t>
      </w:r>
      <w:r>
        <w:t xml:space="preserve">(e.g, Wolfe, 1998)</w:t>
      </w:r>
      <w:r>
        <w:t xml:space="preserve"> </w:t>
      </w:r>
      <w:r>
        <w:t xml:space="preserve">and visual near-threshold detection</w:t>
      </w:r>
      <w:r>
        <w:t xml:space="preserve"> </w:t>
      </w:r>
      <w:r>
        <w:t xml:space="preserve">(Mazor, Friston, &amp; Fleming, 2020)</w:t>
      </w:r>
      <w:r>
        <w:t xml:space="preserve">, in lower and less reliable subjective confidence ratings for inference about absence</w:t>
      </w:r>
      <w:r>
        <w:t xml:space="preserve"> </w:t>
      </w:r>
      <w:r>
        <w:t xml:space="preserve">(Kanai, Walsh, &amp; Tseng, 2010; Kellij, Fahrenfort, Lau, Peters, &amp; Odegaard, 2018; Meuwese, Loon, Lamme, &amp; Fahrenfort, 2014)</w:t>
      </w:r>
      <w:r>
        <w:t xml:space="preserve">, in a general difficulty to form associations with absence</w:t>
      </w:r>
      <w:r>
        <w:t xml:space="preserve"> </w:t>
      </w:r>
      <w:r>
        <w:t xml:space="preserve">(Newman, Wolff, &amp; Hearst, 1980)</w:t>
      </w:r>
      <w:r>
        <w:t xml:space="preserve">, and in the late acquisition of the explicit representation of absence in development</w:t>
      </w:r>
      <w:r>
        <w:t xml:space="preserve"> </w:t>
      </w:r>
      <w:r>
        <w:t xml:space="preserve">(e.g., Sainsbury, 1971; Coldren &amp; Haaf, 2000; for a review on the representation of nothing see Hearst, 1991)</w:t>
      </w:r>
      <w:r>
        <w:t xml:space="preserve">.</w:t>
      </w:r>
    </w:p>
    <w:p>
      <w:pPr>
        <w:pStyle w:val="CaptionedFigure"/>
      </w:pPr>
      <w:r>
        <w:drawing>
          <wp:inline>
            <wp:extent cx="5969000" cy="4818951"/>
            <wp:effectExtent b="0" l="0" r="0" t="0"/>
            <wp:docPr descr="Figure 1.  Left panel: in visual search, search times are typically slower (and search time/set size slopes shallower) for target absent trials, compared with target present trials. Right panel: in visual detection, subjective confidence ratings following judgments about target absence are typically lower, and less correlated with objective accuracy than following judgments about target presence. This metacognitive asymmetry manifests as lower area under the response-conditional ROC curve for ‘yes’ responses (blue) compared with ‘no’ responses (red)." title="" id="1" name="Picture"/>
            <a:graphic>
              <a:graphicData uri="http://schemas.openxmlformats.org/drawingml/2006/picture">
                <pic:pic>
                  <pic:nvPicPr>
                    <pic:cNvPr descr="figures/asymmetries.png" id="0" name="Picture"/>
                    <pic:cNvPicPr>
                      <a:picLocks noChangeArrowheads="1" noChangeAspect="1"/>
                    </pic:cNvPicPr>
                  </pic:nvPicPr>
                  <pic:blipFill>
                    <a:blip r:embed="rId22"/>
                    <a:stretch>
                      <a:fillRect/>
                    </a:stretch>
                  </pic:blipFill>
                  <pic:spPr bwMode="auto">
                    <a:xfrm>
                      <a:off x="0" y="0"/>
                      <a:ext cx="5969000" cy="4818951"/>
                    </a:xfrm>
                    <a:prstGeom prst="rect">
                      <a:avLst/>
                    </a:prstGeom>
                    <a:noFill/>
                    <a:ln w="9525">
                      <a:noFill/>
                      <a:headEnd/>
                      <a:tailEnd/>
                    </a:ln>
                  </pic:spPr>
                </pic:pic>
              </a:graphicData>
            </a:graphic>
          </wp:inline>
        </w:drawing>
      </w:r>
    </w:p>
    <w:p>
      <w:pPr>
        <w:pStyle w:val="ImageCaption"/>
      </w:pPr>
      <w:r>
        <w:rPr>
          <w:i/>
        </w:rPr>
        <w:t xml:space="preserve">Figure</w:t>
      </w:r>
      <w:r>
        <w:t xml:space="preserve"> </w:t>
      </w:r>
      <w:r>
        <w:rPr>
          <w:i/>
        </w:rPr>
        <w:t xml:space="preserve">1</w:t>
      </w:r>
      <w:r>
        <w:t xml:space="preserve">.  Left panel: in visual search, search times are typically slower (and search time/set size slopes shallower) for target absent trials, compared with target present trials. Right panel: in visual detection, subjective confidence ratings following judgments about target absence are typically lower, and less correlated with objective accuracy than following judgments about target presence. This metacognitive asymmetry manifests as lower area under the response-conditional ROC curve for</w:t>
      </w:r>
      <w:r>
        <w:t xml:space="preserve"> </w:t>
      </w:r>
      <w:r>
        <w:t xml:space="preserve">‘</w:t>
      </w:r>
      <w:r>
        <w:t xml:space="preserve">yes</w:t>
      </w:r>
      <w:r>
        <w:t xml:space="preserve">’</w:t>
      </w:r>
      <w:r>
        <w:t xml:space="preserve"> </w:t>
      </w:r>
      <w:r>
        <w:t xml:space="preserve">responses (blue) compared with</w:t>
      </w:r>
      <w:r>
        <w:t xml:space="preserve"> </w:t>
      </w:r>
      <w:r>
        <w:t xml:space="preserve">‘</w:t>
      </w:r>
      <w:r>
        <w:t xml:space="preserve">no</w:t>
      </w:r>
      <w:r>
        <w:t xml:space="preserve">’</w:t>
      </w:r>
      <w:r>
        <w:t xml:space="preserve"> </w:t>
      </w:r>
      <w:r>
        <w:t xml:space="preserve">responses (red).</w:t>
      </w:r>
    </w:p>
    <w:p>
      <w:pPr>
        <w:pStyle w:val="Textkrper"/>
      </w:pPr>
      <w:r>
        <w:t xml:space="preserve">These perceptual and cognitive presence/absence asymmetries may reflect a profound asymmetry in the cognitive representational space, or alternatively a mixture of apparently similar but cognitively unrelated psychological effects. Although such asymmetries are consistently observed across tasks and stimulus features, to date no systematic attempt has been made to investigate whether these similar effects share a common underlying mechanism, or not. Furthermore, it remains a theoretical conjecture whether the presence/absence asymmetry is one instance of a more general perceptual and cognitive asymmetry between default and deviating states in a default-reasoning framework, where absence is only one among many aspects of the default state. Here we take a first step toward answering these two questions by testing the generalizability across domains of a well-documented presence/absence asymmetry in visual search for local features, global features, and for comliance with a default state.</w:t>
      </w:r>
    </w:p>
    <w:p>
      <w:pPr>
        <w:pStyle w:val="Textkrper"/>
      </w:pPr>
      <w:r>
        <w:t xml:space="preserve">In visual search, participants report whether a target stimulus appeared or not among distractor stimuli in a search array. Participants typically take longer to identify the absence compared with the presence of a target, even in searches that are not performed serially, and even when the search array appears for a shorter period of time than required to perform eye movements</w:t>
      </w:r>
      <w:r>
        <w:t xml:space="preserve"> </w:t>
      </w:r>
      <w:r>
        <w:t xml:space="preserve">(Dosher, Han, &amp; Lu, 2004; Wolfe, 1998)</w:t>
      </w:r>
      <w:r>
        <w:t xml:space="preserve">. Furthermore, searching for an object that is marked by a distinguishing feature (for example, searching for a</w:t>
      </w:r>
      <w:r>
        <w:t xml:space="preserve"> </w:t>
      </w:r>
      <w:r>
        <w:rPr>
          <w:i/>
        </w:rPr>
        <w:t xml:space="preserve">Q</w:t>
      </w:r>
      <w:r>
        <w:t xml:space="preserve"> </w:t>
      </w:r>
      <w:r>
        <w:t xml:space="preserve">among</w:t>
      </w:r>
      <w:r>
        <w:t xml:space="preserve"> </w:t>
      </w:r>
      <w:r>
        <w:rPr>
          <w:i/>
        </w:rPr>
        <w:t xml:space="preserve">O</w:t>
      </w:r>
      <w:r>
        <w:t xml:space="preserve">s) is more efficient than searching for an object that is marked by the absence of a distinguishing feature</w:t>
      </w:r>
      <w:r>
        <w:t xml:space="preserve"> </w:t>
      </w:r>
      <w:r>
        <w:t xml:space="preserve">(searching for an</w:t>
      </w:r>
      <w:r>
        <w:t xml:space="preserve"> </w:t>
      </w:r>
      <w:r>
        <w:rPr>
          <w:i/>
        </w:rPr>
        <w:t xml:space="preserve">O</w:t>
      </w:r>
      <w:r>
        <w:t xml:space="preserve"> </w:t>
      </w:r>
      <w:r>
        <w:t xml:space="preserve">among</w:t>
      </w:r>
      <w:r>
        <w:t xml:space="preserve"> </w:t>
      </w:r>
      <w:r>
        <w:rPr>
          <w:i/>
        </w:rPr>
        <w:t xml:space="preserve">Q</w:t>
      </w:r>
      <w:r>
        <w:t xml:space="preserve">s; Treisman &amp; Souther, 1985)</w:t>
      </w:r>
      <w:r>
        <w:t xml:space="preserve">. Such</w:t>
      </w:r>
      <w:r>
        <w:t xml:space="preserve"> </w:t>
      </w:r>
      <w:r>
        <w:rPr>
          <w:i/>
        </w:rPr>
        <w:t xml:space="preserve">visual search asymmetries</w:t>
      </w:r>
      <w:r>
        <w:t xml:space="preserve"> </w:t>
      </w:r>
      <w:r>
        <w:t xml:space="preserve">are not limited to the presence or absence of local stimulus features like the line that distinguishes a</w:t>
      </w:r>
      <w:r>
        <w:t xml:space="preserve"> </w:t>
      </w:r>
      <w:r>
        <w:rPr>
          <w:i/>
        </w:rPr>
        <w:t xml:space="preserve">Q</w:t>
      </w:r>
      <w:r>
        <w:t xml:space="preserve"> </w:t>
      </w:r>
      <w:r>
        <w:t xml:space="preserve">from an</w:t>
      </w:r>
      <w:r>
        <w:t xml:space="preserve"> </w:t>
      </w:r>
      <w:r>
        <w:rPr>
          <w:i/>
        </w:rPr>
        <w:t xml:space="preserve">O</w:t>
      </w:r>
      <w:r>
        <w:t xml:space="preserve">. In a seminal paper,</w:t>
      </w:r>
      <w:r>
        <w:t xml:space="preserve"> </w:t>
      </w:r>
      <w:r>
        <w:t xml:space="preserve">Treisman and Gormican (1988)</w:t>
      </w:r>
      <w:r>
        <w:t xml:space="preserve"> </w:t>
      </w:r>
      <w:r>
        <w:t xml:space="preserve">observed similar search asymmetries for the presence or absence of global stimulus features, like color, tilt, and curvature. For example, the asymmetry between magenta-in-red and red-in-magenta searches was explained as resulting from blue being present in magenta but absent in red. In the same way curvature and tilt were identified as positive visual features based on search time benefits for tilted-in-vertical and curved-in-straight searches, compared with the inverse searches. Furthermore, cases of search asymmetry for familiar and unfamiliar objects supported a default-compliance interpretation of the search asymmetry effect. For example, searching for an inverted letter among canonically presented letters and searching for a upward-tilted cube among downward-tilted cubes are easier than the inverse searches, in line with a general expectation to see letters in their canonical form, and objects on the ground rather than floating in space</w:t>
      </w:r>
      <w:r>
        <w:t xml:space="preserve"> </w:t>
      </w:r>
      <w:r>
        <w:t xml:space="preserve">(Frith, 1974; Von Grünau &amp; Dubé, 1994; Wang, Cavanagh, &amp; Green, 1994)</w:t>
      </w:r>
      <w:r>
        <w:t xml:space="preserve">. It is unclear however whether local, global, and default-compliance search-asymmetry effects originate from the same underlying mechanism.</w:t>
      </w:r>
    </w:p>
    <w:p>
      <w:pPr>
        <w:pStyle w:val="CaptionedFigure"/>
      </w:pPr>
      <w:r>
        <w:drawing>
          <wp:inline>
            <wp:extent cx="4898114" cy="1636967"/>
            <wp:effectExtent b="0" l="0" r="0" t="0"/>
            <wp:docPr descr="Figure 2.  It is easier to find the circle with the vertical line among plain circles (left panel) than vice versa. Adapted from Wolfe (2001)" title="" id="1" name="Picture"/>
            <a:graphic>
              <a:graphicData uri="http://schemas.openxmlformats.org/drawingml/2006/picture">
                <pic:pic>
                  <pic:nvPicPr>
                    <pic:cNvPr descr="figures/wolfeexample.png" id="0" name="Picture"/>
                    <pic:cNvPicPr>
                      <a:picLocks noChangeArrowheads="1" noChangeAspect="1"/>
                    </pic:cNvPicPr>
                  </pic:nvPicPr>
                  <pic:blipFill>
                    <a:blip r:embed="rId23"/>
                    <a:stretch>
                      <a:fillRect/>
                    </a:stretch>
                  </pic:blipFill>
                  <pic:spPr bwMode="auto">
                    <a:xfrm>
                      <a:off x="0" y="0"/>
                      <a:ext cx="4898114" cy="1636967"/>
                    </a:xfrm>
                    <a:prstGeom prst="rect">
                      <a:avLst/>
                    </a:prstGeom>
                    <a:noFill/>
                    <a:ln w="9525">
                      <a:noFill/>
                      <a:headEnd/>
                      <a:tailEnd/>
                    </a:ln>
                  </pic:spPr>
                </pic:pic>
              </a:graphicData>
            </a:graphic>
          </wp:inline>
        </w:drawing>
      </w:r>
    </w:p>
    <w:p>
      <w:pPr>
        <w:pStyle w:val="ImageCaption"/>
      </w:pPr>
      <w:r>
        <w:rPr>
          <w:i/>
        </w:rPr>
        <w:t xml:space="preserve">Figure</w:t>
      </w:r>
      <w:r>
        <w:t xml:space="preserve"> </w:t>
      </w:r>
      <w:r>
        <w:rPr>
          <w:i/>
        </w:rPr>
        <w:t xml:space="preserve">2</w:t>
      </w:r>
      <w:r>
        <w:t xml:space="preserve">.  It is easier to find the circle with the vertical line among plain circles (left panel) than vice versa. Adapted from</w:t>
      </w:r>
      <w:r>
        <w:t xml:space="preserve"> </w:t>
      </w:r>
      <w:r>
        <w:t xml:space="preserve">Wolfe (2001)</w:t>
      </w:r>
    </w:p>
    <w:p>
      <w:pPr>
        <w:pStyle w:val="Textkrper"/>
      </w:pPr>
      <w:r>
        <w:t xml:space="preserve">To date, feature-level presence/absence asymmetry has only been demonstrated in the visual search domain. Here we ask whether a similar feature-level asymmetry is evident in another domain where presence/absence asymmetry has been documented at the object level: metacognition for visual detection judgments. In near-threshold detection, participants report whether a single faint target stimulus appeared, or not. When asked to rate their subjective confidence after making detection decisions, subjective confidence ratings following</w:t>
      </w:r>
      <w:r>
        <w:t xml:space="preserve"> </w:t>
      </w:r>
      <w:r>
        <w:t xml:space="preserve">‘</w:t>
      </w:r>
      <w:r>
        <w:t xml:space="preserve">target absent</w:t>
      </w:r>
      <w:r>
        <w:t xml:space="preserve">’</w:t>
      </w:r>
      <w:r>
        <w:t xml:space="preserve"> </w:t>
      </w:r>
      <w:r>
        <w:t xml:space="preserve">judgments are commonly lower, and less correlated with objective accuracy, than following</w:t>
      </w:r>
      <w:r>
        <w:t xml:space="preserve"> </w:t>
      </w:r>
      <w:r>
        <w:t xml:space="preserve">‘</w:t>
      </w:r>
      <w:r>
        <w:t xml:space="preserve">target present</w:t>
      </w:r>
      <w:r>
        <w:t xml:space="preserve">’</w:t>
      </w:r>
      <w:r>
        <w:t xml:space="preserve"> </w:t>
      </w:r>
      <w:r>
        <w:t xml:space="preserve">judgments</w:t>
      </w:r>
      <w:r>
        <w:t xml:space="preserve"> </w:t>
      </w:r>
      <w:r>
        <w:t xml:space="preserve">(Kanai et al., 2010; Kellij et al., 2018; Mazor et al., 2020; Meuwese et al., 2014)</w:t>
      </w:r>
      <w:r>
        <w:t xml:space="preserve">. Here, the presence/absence asymmetry is evident in the metacognitive evaluation of the decision, instead of the decision process itself. Crucially for our study, metacognitive asymmetry is not observed for discrimination judgments about the identity of the stimulus, where evidence can be available in support of both responses. For example, when asking participants to decide whether it was a fish or a different animal that appeared in a degraded image, confidence ratings for the two responses are similarly indicative of true objective accuracy</w:t>
      </w:r>
      <w:r>
        <w:t xml:space="preserve"> </w:t>
      </w:r>
      <w:r>
        <w:t xml:space="preserve">(Meuwese et al., 2014)</w:t>
      </w:r>
      <w:r>
        <w:t xml:space="preserve">.</w:t>
      </w:r>
    </w:p>
    <w:p>
      <w:pPr>
        <w:pStyle w:val="Textkrper"/>
      </w:pPr>
      <w:r>
        <w:t xml:space="preserve">Here, we propose to measure participants’ metacognitive evaluations of discrimination judgments between a selected set of stimulus pairs that exhibit asymmetry in visual search for different perceptual dimensions at three levels: the presence or absence of a local feature, the presence or absence of a global feature, and comliance with a default state. For local features, we will test part addition (</w:t>
      </w:r>
      <w:r>
        <w:rPr>
          <w:i/>
        </w:rPr>
        <w:t xml:space="preserve">Q</w:t>
      </w:r>
      <w:r>
        <w:t xml:space="preserve">/</w:t>
      </w:r>
      <w:r>
        <w:rPr>
          <w:i/>
        </w:rPr>
        <w:t xml:space="preserve">O</w:t>
      </w:r>
      <w:r>
        <w:t xml:space="preserve">) and part subtraction (</w:t>
      </w:r>
      <w:r>
        <w:rPr>
          <w:i/>
        </w:rPr>
        <w:t xml:space="preserve">C</w:t>
      </w:r>
      <w:r>
        <w:t xml:space="preserve">/</w:t>
      </w:r>
      <w:r>
        <w:rPr>
          <w:i/>
        </w:rPr>
        <w:t xml:space="preserve">O</w:t>
      </w:r>
      <w:r>
        <w:t xml:space="preserve">). For global features, we will test orientation (vertical/tilted) and curvature (straight/curved). Finally, for default-compliance, we will test letter inversion and viewing angle (upward and downward tilted cuves). Looking at individual and stimulus-related differences in search and metacognitive asymmetries will allow us to directly test whether search and metacognitive asymmetries originate from common, partly overlapping, or completely distinct underlying mechanisms, and to do so separately for local features, global features, and default-compliance.</w:t>
      </w:r>
    </w:p>
    <w:p>
      <w:pPr>
        <w:pStyle w:val="Textkrper"/>
      </w:pPr>
      <w:r>
        <w:t xml:space="preserve">More specifically, this study is set to test the following hypotheses:</w:t>
      </w:r>
    </w:p>
    <w:p>
      <w:pPr>
        <w:pStyle w:val="Compact"/>
        <w:numPr>
          <w:numId w:val="1001"/>
          <w:ilvl w:val="0"/>
        </w:numPr>
      </w:pPr>
      <w:r>
        <w:rPr>
          <w:b/>
        </w:rPr>
        <w:t xml:space="preserve">Hypothesis 1</w:t>
      </w:r>
      <w:r>
        <w:t xml:space="preserve">: For our selected stimulus pairs, visual search is more efficient in one direction compared with the other.</w:t>
      </w:r>
    </w:p>
    <w:p>
      <w:pPr>
        <w:pStyle w:val="FirstParagraph"/>
      </w:pPr>
      <w:r>
        <w:t xml:space="preserve">This hypothesis will be tested for the following stimulus features for which search asymmetry has been demonstrated: addition of a stimulus part, open ends, orientation, curvature, letter inversion, and viewing angle. We will test Hypothesis 1 separately for each stimulus feature, by replicating the original search asymmetry (for example, Q-in-O search is more efficient that O-in-Q search).</w:t>
      </w:r>
    </w:p>
    <w:p>
      <w:pPr>
        <w:pStyle w:val="Compact"/>
        <w:numPr>
          <w:numId w:val="1002"/>
          <w:ilvl w:val="0"/>
        </w:numPr>
      </w:pPr>
      <w:r>
        <w:rPr>
          <w:b/>
        </w:rPr>
        <w:t xml:space="preserve">Hypothesis 2</w:t>
      </w:r>
      <w:r>
        <w:t xml:space="preserve">: Conditioned on the results of our testing of Hypothesis 1. Metacognitive asymmetry, measured as the area between the two response conditional ROC curves (see methods section below), follows the same direction as search asymmetry.</w:t>
      </w:r>
    </w:p>
    <w:p>
      <w:pPr>
        <w:pStyle w:val="FirstParagraph"/>
      </w:pPr>
      <w:r>
        <w:t xml:space="preserve">For each of the six stimulus pairs, we will test the the null hypothesis that metacognitive sensitivity (measured as the area under the response conditional ROC curve) for the efficient target (e.g.,</w:t>
      </w:r>
      <w:r>
        <w:t xml:space="preserve"> </w:t>
      </w:r>
      <w:r>
        <w:rPr>
          <w:i/>
        </w:rPr>
        <w:t xml:space="preserve">Q</w:t>
      </w:r>
      <w:r>
        <w:t xml:space="preserve">) is equal to or lower than metacognitive sensitivity for the inefficient target (e.g., for the case of</w:t>
      </w:r>
      <w:r>
        <w:t xml:space="preserve"> </w:t>
      </w:r>
      <w:r>
        <w:rPr>
          <w:i/>
        </w:rPr>
        <w:t xml:space="preserve">Q</w:t>
      </w:r>
      <w:r>
        <w:t xml:space="preserve">/</w:t>
      </w:r>
      <w:r>
        <w:rPr>
          <w:i/>
        </w:rPr>
        <w:t xml:space="preserve">O</w:t>
      </w:r>
      <w:r>
        <w:t xml:space="preserve">,</w:t>
      </w:r>
      <w:r>
        <w:t xml:space="preserve"> </w:t>
      </w:r>
      <m:oMath>
        <m:sSub>
          <m:e>
            <m:r>
              <m:t>H</m:t>
            </m:r>
          </m:e>
          <m:sub>
            <m:r>
              <m:t>o</m:t>
            </m:r>
          </m:sub>
        </m:sSub>
        <m:r>
          <m:t>=</m:t>
        </m:r>
        <m:r>
          <m:t>a</m:t>
        </m:r>
        <m:r>
          <m:t>u</m:t>
        </m:r>
        <m:r>
          <m:t>R</m:t>
        </m:r>
        <m:r>
          <m:t>O</m:t>
        </m:r>
        <m:sSub>
          <m:e>
            <m:r>
              <m:t>C</m:t>
            </m:r>
          </m:e>
          <m:sub>
            <m:r>
              <m:t>Q</m:t>
            </m:r>
          </m:sub>
        </m:sSub>
        <m:r>
          <m:t>≤</m:t>
        </m:r>
        <m:r>
          <m:t>a</m:t>
        </m:r>
        <m:r>
          <m:t>u</m:t>
        </m:r>
        <m:r>
          <m:t>R</m:t>
        </m:r>
        <m:r>
          <m:t>O</m:t>
        </m:r>
        <m:sSub>
          <m:e>
            <m:r>
              <m:t>C</m:t>
            </m:r>
          </m:e>
          <m:sub>
            <m:r>
              <m:t>O</m:t>
            </m:r>
          </m:sub>
        </m:sSub>
      </m:oMath>
      <w:r>
        <w:t xml:space="preserve">).</w:t>
      </w:r>
    </w:p>
    <w:p>
      <w:pPr>
        <w:pStyle w:val="Compact"/>
        <w:numPr>
          <w:numId w:val="1003"/>
          <w:ilvl w:val="0"/>
        </w:numPr>
      </w:pPr>
      <w:r>
        <w:rPr>
          <w:b/>
        </w:rPr>
        <w:t xml:space="preserve">Hypothesis 3</w:t>
      </w:r>
      <w:r>
        <w:t xml:space="preserve">: Individual differences in the direction and magnitude of search asymmetry positively covary with individual differences in the direction and magnitude of metacognitive asymmetry.</w:t>
      </w:r>
    </w:p>
    <w:p>
      <w:pPr>
        <w:pStyle w:val="FirstParagraph"/>
      </w:pPr>
      <w:r>
        <w:t xml:space="preserve">This hypothesis will be tested separately for each stimulus pair by measuring the Pearson correlation between search asymmetry and metacognitive asymmetry across participants. We will also measure the overall correlation between search and metacognitive asymmetries across participants, pooled from all 6 experiments.</w:t>
      </w:r>
    </w:p>
    <w:p>
      <w:pPr>
        <w:pStyle w:val="Compact"/>
        <w:numPr>
          <w:numId w:val="1004"/>
          <w:ilvl w:val="0"/>
        </w:numPr>
      </w:pPr>
      <w:r>
        <w:rPr>
          <w:b/>
        </w:rPr>
        <w:t xml:space="preserve">Hypothesis 4</w:t>
      </w:r>
      <w:r>
        <w:t xml:space="preserve">: Individual differences in the direction and magnitude of search asymmetry positively covary with individual differences in the additional time cost for reporting target absence in visual search.</w:t>
      </w:r>
    </w:p>
    <w:p>
      <w:pPr>
        <w:pStyle w:val="FirstParagraph"/>
      </w:pPr>
      <w:r>
        <w:t xml:space="preserve">This hypothesis will be tested separately for each stimulus pair by measuring the Pearson correlation between search asymmetry and the time cost of reporting target absence, across participants. We will also measure the overall correlation between these two measures across participants, pooled from all 6 experiments.</w:t>
      </w:r>
    </w:p>
    <w:p>
      <w:pPr>
        <w:pStyle w:val="Textkrper"/>
      </w:pPr>
      <w:r>
        <w:t xml:space="preserve">For each stimulus pair, hypothesis 2 will test the extent to which the asymmetry is unique to visual search, or otherwise generalizes to an independent measure of presence/absence asymmetry from metacognitive evaluations. Hypothesis 3 will build on and strengthen findings favouring a shared mechanism, by testing for shared variance between the two independent measures across participants. Finally, Hypothesis 4 will test whether, for each of our stimulus pairs, feature-level asymmetries are correlated with object-level asymmetries between</w:t>
      </w:r>
      <w:r>
        <w:t xml:space="preserve"> </w:t>
      </w:r>
      <w:r>
        <w:t xml:space="preserve">‘</w:t>
      </w:r>
      <w:r>
        <w:t xml:space="preserve">present</w:t>
      </w:r>
      <w:r>
        <w:t xml:space="preserve">’</w:t>
      </w:r>
      <w:r>
        <w:t xml:space="preserve"> </w:t>
      </w:r>
      <w:r>
        <w:t xml:space="preserve">and</w:t>
      </w:r>
      <w:r>
        <w:t xml:space="preserve"> </w:t>
      </w:r>
      <w:r>
        <w:t xml:space="preserve">‘</w:t>
      </w:r>
      <w:r>
        <w:t xml:space="preserve">absent</w:t>
      </w:r>
      <w:r>
        <w:t xml:space="preserve">’</w:t>
      </w:r>
      <w:r>
        <w:t xml:space="preserve"> </w:t>
      </w:r>
      <w:r>
        <w:t xml:space="preserve">responses. This will serve to test the more general idea that feature-level asymmetries are related to explicit decisions about the presence or absence of objects.</w:t>
      </w:r>
    </w:p>
    <w:p>
      <w:pPr>
        <w:pStyle w:val="berschrift1"/>
      </w:pPr>
      <w:bookmarkStart w:id="24" w:name="methods"/>
      <w:r>
        <w:t xml:space="preserve">Methods</w:t>
      </w:r>
      <w:bookmarkEnd w:id="24"/>
    </w:p>
    <w:p>
      <w:pPr>
        <w:pStyle w:val="FirstParagraph"/>
      </w:pPr>
      <w:r>
        <w:t xml:space="preserve">We report how we determined our sample size, all data exclusions (if any), all manipulations, and all measures in the study.</w:t>
      </w:r>
      <w:r>
        <w:t xml:space="preserve"> </w:t>
      </w:r>
    </w:p>
    <w:p>
      <w:pPr>
        <w:pStyle w:val="berschrift2"/>
      </w:pPr>
      <w:bookmarkStart w:id="25" w:name="participants"/>
      <w:r>
        <w:t xml:space="preserve">Participants</w:t>
      </w:r>
      <w:bookmarkEnd w:id="25"/>
    </w:p>
    <w:p>
      <w:pPr>
        <w:pStyle w:val="FirstParagraph"/>
      </w:pPr>
      <w:r>
        <w:t xml:space="preserve">The research complies with all relevant ethical regulations, and was approved by the Research Ethics Committee of University College London (study ID number 1260/003). Participants will be recruited via Prolific, and will give informed consent prior to their participation. They will be selected based on their acceptance rate (&gt;95%) and for being native English speakers. For each of the six experiments, we will collect data until we reach 320 included participants (after applying our pre-registered exclusion criteria). The entire experiment will take 15 minutes to complete (median completion time in our pilot data: 13.5 minutes). Participants will be paid £2 for their participation, equivalent to an hourly wage of £8.</w:t>
      </w:r>
    </w:p>
    <w:p>
      <w:pPr>
        <w:pStyle w:val="berschrift2"/>
      </w:pPr>
      <w:bookmarkStart w:id="26" w:name="procedure"/>
      <w:r>
        <w:t xml:space="preserve">Procedure</w:t>
      </w:r>
      <w:bookmarkEnd w:id="26"/>
    </w:p>
    <w:p>
      <w:pPr>
        <w:pStyle w:val="FirstParagraph"/>
      </w:pPr>
      <w:r>
        <w:t xml:space="preserve">Experiments will be identical, except for the identity of the target and distractor stimuli. In what follows we will describe the procedure for the stimulus pair</w:t>
      </w:r>
      <w:r>
        <w:t xml:space="preserve"> </w:t>
      </w:r>
      <w:r>
        <w:t xml:space="preserve">‘</w:t>
      </w:r>
      <w:r>
        <w:rPr>
          <w:i/>
        </w:rPr>
        <w:t xml:space="preserve">Q</w:t>
      </w:r>
      <w:r>
        <w:t xml:space="preserve">’</w:t>
      </w:r>
      <w:r>
        <w:t xml:space="preserve"> </w:t>
      </w:r>
      <w:r>
        <w:t xml:space="preserve">and</w:t>
      </w:r>
      <w:r>
        <w:t xml:space="preserve"> </w:t>
      </w:r>
      <w:r>
        <w:t xml:space="preserve">‘</w:t>
      </w:r>
      <w:r>
        <w:rPr>
          <w:i/>
        </w:rPr>
        <w:t xml:space="preserve">O</w:t>
      </w:r>
      <w:r>
        <w:t xml:space="preserve">’</w:t>
      </w:r>
      <w:r>
        <w:t xml:space="preserve">. Experiments were programmed using the jsPsych and P5 JavaScript packages</w:t>
      </w:r>
      <w:r>
        <w:t xml:space="preserve"> </w:t>
      </w:r>
      <w:r>
        <w:t xml:space="preserve">(De Leeuw, 2015; McCarthy, 2015)</w:t>
      </w:r>
      <w:r>
        <w:t xml:space="preserve">, and hosted on a JATOS server</w:t>
      </w:r>
      <w:r>
        <w:t xml:space="preserve"> </w:t>
      </w:r>
      <w:r>
        <w:t xml:space="preserve">(Lange, Kühn, &amp; Filevich, 2015)</w:t>
      </w:r>
      <w:r>
        <w:t xml:space="preserve">. The full Experiment as delivered to participants is available here:</w:t>
      </w:r>
      <w:r>
        <w:t xml:space="preserve"> </w:t>
      </w:r>
      <w:hyperlink r:id="rId27">
        <w:r>
          <w:rPr>
            <w:rStyle w:val="Hyperlink"/>
          </w:rPr>
          <w:t xml:space="preserve">http://167.99.93.4/publix/13/start?batchId=45&amp;generalMultiple</w:t>
        </w:r>
      </w:hyperlink>
      <w:r>
        <w:t xml:space="preserve">.</w:t>
      </w:r>
    </w:p>
    <w:p>
      <w:pPr>
        <w:pStyle w:val="Textkrper"/>
      </w:pPr>
      <w:r>
        <w:t xml:space="preserve">The Experiment will comprise three parts (</w:t>
      </w:r>
      <w:r>
        <w:t xml:space="preserve">“</w:t>
      </w:r>
      <w:r>
        <w:t xml:space="preserve">challenges</w:t>
      </w:r>
      <w:r>
        <w:t xml:space="preserve">”</w:t>
      </w:r>
      <w:r>
        <w:t xml:space="preserve">) presented in pseudorandomized order.</w:t>
      </w:r>
    </w:p>
    <w:p>
      <w:pPr>
        <w:numPr>
          <w:numId w:val="1005"/>
          <w:ilvl w:val="0"/>
        </w:numPr>
      </w:pPr>
      <w:r>
        <w:t xml:space="preserve">The first part will comprise 32 visual search trials. In these trials participants will search for one</w:t>
      </w:r>
      <w:r>
        <w:t xml:space="preserve"> </w:t>
      </w:r>
      <w:r>
        <w:t xml:space="preserve">‘</w:t>
      </w:r>
      <w:r>
        <w:rPr>
          <w:i/>
        </w:rPr>
        <w:t xml:space="preserve">Q</w:t>
      </w:r>
      <w:r>
        <w:t xml:space="preserve">’</w:t>
      </w:r>
      <w:r>
        <w:t xml:space="preserve"> </w:t>
      </w:r>
      <w:r>
        <w:t xml:space="preserve">in an array of 1, 2, 4 or 8</w:t>
      </w:r>
      <w:r>
        <w:t xml:space="preserve"> </w:t>
      </w:r>
      <w:r>
        <w:t xml:space="preserve">‘</w:t>
      </w:r>
      <w:r>
        <w:rPr>
          <w:i/>
        </w:rPr>
        <w:t xml:space="preserve">O</w:t>
      </w:r>
      <w:r>
        <w:t xml:space="preserve">’</w:t>
      </w:r>
      <w:r>
        <w:t xml:space="preserve"> </w:t>
      </w:r>
      <w:r>
        <w:t xml:space="preserve">distractors. The target stimulus will be present in half of the trials, and absent in the other half. Participants will be instructed to use their keyboard to indicate whether the target was present (press J) or absent (press F) as quickly and accurately as possible. Each trial will start with an instruction screen, indicating the search target (500-1000 ms), followed by the presentation of the search array. The search array will remain visible until a response is recorded. Feedback about accuracy will be delivered. To motivate accurate responses, the feedback screen will remain for 1000 ms following correct responses and for 4000 ms following incorrect responses. The visual search block will start with four practice trials of distractor set-size 4 that will not be included in the final analysis. The actual block of 32 trials (4 trials of each set size, presented in random order) will start once all four practice trials are answered correctly, otherwise additional practice trials will be delivered.</w:t>
      </w:r>
    </w:p>
    <w:p>
      <w:pPr>
        <w:numPr>
          <w:numId w:val="1005"/>
          <w:ilvl w:val="0"/>
        </w:numPr>
      </w:pPr>
      <w:r>
        <w:t xml:space="preserve">The second part will be identical to the first part, except for the identity of the target stimulus. Here</w:t>
      </w:r>
      <w:r>
        <w:t xml:space="preserve"> </w:t>
      </w:r>
      <w:r>
        <w:t xml:space="preserve">‘</w:t>
      </w:r>
      <w:r>
        <w:rPr>
          <w:i/>
        </w:rPr>
        <w:t xml:space="preserve">O</w:t>
      </w:r>
      <w:r>
        <w:t xml:space="preserve">’</w:t>
      </w:r>
      <w:r>
        <w:t xml:space="preserve"> </w:t>
      </w:r>
      <w:r>
        <w:t xml:space="preserve">will server as target and</w:t>
      </w:r>
      <w:r>
        <w:t xml:space="preserve"> </w:t>
      </w:r>
      <w:r>
        <w:t xml:space="preserve">‘</w:t>
      </w:r>
      <w:r>
        <w:rPr>
          <w:i/>
        </w:rPr>
        <w:t xml:space="preserve">Q</w:t>
      </w:r>
      <w:r>
        <w:t xml:space="preserve">’</w:t>
      </w:r>
      <w:r>
        <w:t xml:space="preserve"> </w:t>
      </w:r>
      <w:r>
        <w:t xml:space="preserve">as distractor.</w:t>
      </w:r>
    </w:p>
    <w:p>
      <w:pPr>
        <w:numPr>
          <w:numId w:val="1005"/>
          <w:ilvl w:val="0"/>
        </w:numPr>
      </w:pPr>
      <w:r>
        <w:t xml:space="preserve">In the third part, participants will make discrimination judgments between masked</w:t>
      </w:r>
      <w:r>
        <w:t xml:space="preserve"> </w:t>
      </w:r>
      <w:r>
        <w:rPr>
          <w:i/>
        </w:rPr>
        <w:t xml:space="preserve">Q</w:t>
      </w:r>
      <w:r>
        <w:t xml:space="preserve"> </w:t>
      </w:r>
      <w:r>
        <w:t xml:space="preserve">and</w:t>
      </w:r>
      <w:r>
        <w:t xml:space="preserve"> </w:t>
      </w:r>
      <w:r>
        <w:rPr>
          <w:i/>
        </w:rPr>
        <w:t xml:space="preserve">O</w:t>
      </w:r>
      <w:r>
        <w:t xml:space="preserve"> </w:t>
      </w:r>
      <w:r>
        <w:t xml:space="preserve">stimuli, and rate their subjective decision confidence on a continuous scale. After a fixation cross (500 ms), the target stimulus will be presented in the center of the screen for 50 ms, followed by a mask (100 ms). Stimulus onset asynchrony will be calibrated online in a 1-up-2-down procedure</w:t>
      </w:r>
      <w:r>
        <w:t xml:space="preserve"> </w:t>
      </w:r>
      <w:r>
        <w:t xml:space="preserve">(Levitt, 1971)</w:t>
      </w:r>
      <w:r>
        <w:t xml:space="preserve">, with a multiplicative step factor of 0.9, and starting from 30 milliseconds. Participants will then use their keyboard to make a discrimination judgment. Following their response, subjective confidence ratings will be given on an analog scale by controlling the size of a colored circle with the computer mouse. High confidence will be mapped to a big, blue circle, and low confidence to a small, red circle. The confidence rating phase will terminate once participants click their mouse, but not before 2000 ms. No feedback will be delivered about accuracy.</w:t>
      </w:r>
    </w:p>
    <w:p>
      <w:pPr>
        <w:pStyle w:val="CaptionedFigure"/>
      </w:pPr>
      <w:r>
        <w:drawing>
          <wp:inline>
            <wp:extent cx="5969000" cy="4739762"/>
            <wp:effectExtent b="0" l="0" r="0" t="0"/>
            <wp:docPr descr="Figure 3.  Experiment structure. Three experimental parts will be delivered in pseudorandomized order: a discrimination task with subjective confidence ratings, and two visual search tasks with different distractor/target assignments. Asymmetry effects will be tested for six stimulus features in six separate experiments." title="" id="1" name="Picture"/>
            <a:graphic>
              <a:graphicData uri="http://schemas.openxmlformats.org/drawingml/2006/picture">
                <pic:pic>
                  <pic:nvPicPr>
                    <pic:cNvPr descr="figures/trial_structure.png" id="0" name="Picture"/>
                    <pic:cNvPicPr>
                      <a:picLocks noChangeArrowheads="1" noChangeAspect="1"/>
                    </pic:cNvPicPr>
                  </pic:nvPicPr>
                  <pic:blipFill>
                    <a:blip r:embed="rId28"/>
                    <a:stretch>
                      <a:fillRect/>
                    </a:stretch>
                  </pic:blipFill>
                  <pic:spPr bwMode="auto">
                    <a:xfrm>
                      <a:off x="0" y="0"/>
                      <a:ext cx="5969000" cy="4739762"/>
                    </a:xfrm>
                    <a:prstGeom prst="rect">
                      <a:avLst/>
                    </a:prstGeom>
                    <a:noFill/>
                    <a:ln w="9525">
                      <a:noFill/>
                      <a:headEnd/>
                      <a:tailEnd/>
                    </a:ln>
                  </pic:spPr>
                </pic:pic>
              </a:graphicData>
            </a:graphic>
          </wp:inline>
        </w:drawing>
      </w:r>
    </w:p>
    <w:p>
      <w:pPr>
        <w:pStyle w:val="ImageCaption"/>
      </w:pPr>
      <w:r>
        <w:rPr>
          <w:i/>
        </w:rPr>
        <w:t xml:space="preserve">Figure</w:t>
      </w:r>
      <w:r>
        <w:t xml:space="preserve"> </w:t>
      </w:r>
      <w:r>
        <w:rPr>
          <w:i/>
        </w:rPr>
        <w:t xml:space="preserve">3</w:t>
      </w:r>
      <w:r>
        <w:t xml:space="preserve">.  Experiment structure. Three experimental parts will be delivered in pseudorandomized order: a discrimination task with subjective confidence ratings, and two visual search tasks with different distractor/target assignments. Asymmetry effects will be tested for six stimulus features in six separate experiments.</w:t>
      </w:r>
    </w:p>
    <w:p>
      <w:pPr>
        <w:pStyle w:val="Textkrper"/>
      </w:pPr>
      <w:r>
        <w:t xml:space="preserve">We will test the following stimulus features in separate experiments with different participants:</w:t>
      </w:r>
    </w:p>
    <w:p>
      <w:pPr>
        <w:pStyle w:val="Compact"/>
        <w:numPr>
          <w:numId w:val="1006"/>
          <w:ilvl w:val="0"/>
        </w:numPr>
      </w:pPr>
      <w:r>
        <w:rPr>
          <w:b/>
        </w:rPr>
        <w:t xml:space="preserve">Addition of a stimulus part</w:t>
      </w:r>
      <w:r>
        <w:t xml:space="preserve">.</w:t>
      </w:r>
      <w:r>
        <w:t xml:space="preserve"> </w:t>
      </w:r>
      <w:r>
        <w:rPr>
          <w:i/>
        </w:rPr>
        <w:t xml:space="preserve">Q</w:t>
      </w:r>
      <w:r>
        <w:t xml:space="preserve"> </w:t>
      </w:r>
      <w:r>
        <w:t xml:space="preserve">and</w:t>
      </w:r>
      <w:r>
        <w:t xml:space="preserve"> </w:t>
      </w:r>
      <w:r>
        <w:rPr>
          <w:i/>
        </w:rPr>
        <w:t xml:space="preserve">O</w:t>
      </w:r>
      <w:r>
        <w:t xml:space="preserve"> </w:t>
      </w:r>
      <w:r>
        <w:t xml:space="preserve">will be used as stimuli</w:t>
      </w:r>
      <w:r>
        <w:t xml:space="preserve"> </w:t>
      </w:r>
      <w:r>
        <w:t xml:space="preserve">(Treisman &amp; Souther, 1985)</w:t>
      </w:r>
      <w:r>
        <w:t xml:space="preserve">.</w:t>
      </w:r>
    </w:p>
    <w:p>
      <w:pPr>
        <w:pStyle w:val="Compact"/>
        <w:numPr>
          <w:numId w:val="1006"/>
          <w:ilvl w:val="0"/>
        </w:numPr>
      </w:pPr>
      <w:r>
        <w:rPr>
          <w:b/>
        </w:rPr>
        <w:t xml:space="preserve">Open ends</w:t>
      </w:r>
      <w:r>
        <w:t xml:space="preserve">.</w:t>
      </w:r>
      <w:r>
        <w:t xml:space="preserve"> </w:t>
      </w:r>
      <w:r>
        <w:rPr>
          <w:i/>
        </w:rPr>
        <w:t xml:space="preserve">C</w:t>
      </w:r>
      <w:r>
        <w:t xml:space="preserve"> </w:t>
      </w:r>
      <w:r>
        <w:t xml:space="preserve">and</w:t>
      </w:r>
      <w:r>
        <w:t xml:space="preserve"> </w:t>
      </w:r>
      <w:r>
        <w:rPr>
          <w:i/>
        </w:rPr>
        <w:t xml:space="preserve">O</w:t>
      </w:r>
      <w:r>
        <w:t xml:space="preserve"> </w:t>
      </w:r>
      <w:r>
        <w:t xml:space="preserve">will be used as stimuli</w:t>
      </w:r>
      <w:r>
        <w:t xml:space="preserve"> </w:t>
      </w:r>
      <w:r>
        <w:t xml:space="preserve">(Takeda &amp; Yagi, 2000; Treisman &amp; Gormican, 1988; Treisman &amp; Souther, 1985)</w:t>
      </w:r>
      <w:r>
        <w:t xml:space="preserve">.</w:t>
      </w:r>
    </w:p>
    <w:p>
      <w:pPr>
        <w:pStyle w:val="Compact"/>
        <w:numPr>
          <w:numId w:val="1006"/>
          <w:ilvl w:val="0"/>
        </w:numPr>
      </w:pPr>
      <w:r>
        <w:rPr>
          <w:b/>
        </w:rPr>
        <w:t xml:space="preserve">Curvature</w:t>
      </w:r>
      <w:r>
        <w:t xml:space="preserve">. Straight and curved lines will be used as stimuli</w:t>
      </w:r>
      <w:r>
        <w:t xml:space="preserve"> </w:t>
      </w:r>
      <w:r>
        <w:t xml:space="preserve">(Treisman &amp; Gormican, 1988)</w:t>
      </w:r>
      <w:r>
        <w:t xml:space="preserve">.</w:t>
      </w:r>
    </w:p>
    <w:p>
      <w:pPr>
        <w:pStyle w:val="Compact"/>
        <w:numPr>
          <w:numId w:val="1006"/>
          <w:ilvl w:val="0"/>
        </w:numPr>
      </w:pPr>
      <w:r>
        <w:rPr>
          <w:b/>
        </w:rPr>
        <w:t xml:space="preserve">Orientation</w:t>
      </w:r>
      <w:r>
        <w:t xml:space="preserve">. Vertical and tilted lines will be used as stimuli</w:t>
      </w:r>
      <w:r>
        <w:t xml:space="preserve"> </w:t>
      </w:r>
      <w:r>
        <w:t xml:space="preserve">(Treisman &amp; Gormican, 1988)</w:t>
      </w:r>
      <w:r>
        <w:t xml:space="preserve">.</w:t>
      </w:r>
    </w:p>
    <w:p>
      <w:pPr>
        <w:pStyle w:val="Compact"/>
        <w:numPr>
          <w:numId w:val="1006"/>
          <w:ilvl w:val="0"/>
        </w:numPr>
      </w:pPr>
      <w:r>
        <w:rPr>
          <w:b/>
        </w:rPr>
        <w:t xml:space="preserve">Letter Inversion</w:t>
      </w:r>
      <w:r>
        <w:t xml:space="preserve">. Reversed and normal</w:t>
      </w:r>
      <w:r>
        <w:t xml:space="preserve"> </w:t>
      </w:r>
      <w:r>
        <w:rPr>
          <w:i/>
        </w:rPr>
        <w:t xml:space="preserve">N</w:t>
      </w:r>
      <w:r>
        <w:t xml:space="preserve"> </w:t>
      </w:r>
      <w:r>
        <w:t xml:space="preserve">will be used as stimuli</w:t>
      </w:r>
      <w:r>
        <w:t xml:space="preserve"> </w:t>
      </w:r>
      <w:r>
        <w:t xml:space="preserve">(Frith, 1974; Wang et al., 1994)</w:t>
      </w:r>
      <w:r>
        <w:t xml:space="preserve">.</w:t>
      </w:r>
    </w:p>
    <w:p>
      <w:pPr>
        <w:pStyle w:val="Compact"/>
        <w:numPr>
          <w:numId w:val="1006"/>
          <w:ilvl w:val="0"/>
        </w:numPr>
      </w:pPr>
      <w:r>
        <w:rPr>
          <w:b/>
        </w:rPr>
        <w:t xml:space="preserve">Viewing Angle</w:t>
      </w:r>
      <w:r>
        <w:t xml:space="preserve">. Upward and Downward tilted cubes will be used as stimuli</w:t>
      </w:r>
      <w:r>
        <w:t xml:space="preserve"> </w:t>
      </w:r>
      <w:r>
        <w:t xml:space="preserve">(Von Grünau &amp; Dubé, 1994)</w:t>
      </w:r>
      <w:r>
        <w:t xml:space="preserve">.</w:t>
      </w:r>
    </w:p>
    <w:p>
      <w:pPr>
        <w:pStyle w:val="berschrift3"/>
      </w:pPr>
      <w:bookmarkStart w:id="29" w:name="randomization"/>
      <w:r>
        <w:t xml:space="preserve">Randomization.</w:t>
      </w:r>
      <w:bookmarkEnd w:id="29"/>
    </w:p>
    <w:p>
      <w:pPr>
        <w:pStyle w:val="FirstParagraph"/>
      </w:pPr>
      <w:r>
        <w:t xml:space="preserve">The order and timing of experimental events will be determined pseudo-randomly by the Mersenne Twister pseudorandom number generator, initialized in a way that ensures registration time-locking</w:t>
      </w:r>
      <w:r>
        <w:t xml:space="preserve"> </w:t>
      </w:r>
      <w:r>
        <w:t xml:space="preserve">(Mazor, Mazor, &amp; Mukamel, 2019)</w:t>
      </w:r>
      <w:r>
        <w:t xml:space="preserve">.</w:t>
      </w:r>
    </w:p>
    <w:p>
      <w:pPr>
        <w:pStyle w:val="berschrift2"/>
      </w:pPr>
      <w:bookmarkStart w:id="30" w:name="data-analysis"/>
      <w:r>
        <w:t xml:space="preserve">Data analysis</w:t>
      </w:r>
      <w:bookmarkEnd w:id="30"/>
    </w:p>
    <w:p>
      <w:pPr>
        <w:pStyle w:val="FirstParagraph"/>
      </w:pPr>
      <w:r>
        <w:t xml:space="preserve">We will use R</w:t>
      </w:r>
      <w:r>
        <w:t xml:space="preserve"> </w:t>
      </w:r>
      <w:r>
        <w:t xml:space="preserve">(Version 3.6.0; R Core Team, 2019)</w:t>
      </w:r>
      <w:r>
        <w:t xml:space="preserve"> </w:t>
      </w:r>
      <w:r>
        <w:t xml:space="preserve">and the R-packages</w:t>
      </w:r>
      <w:r>
        <w:t xml:space="preserve"> </w:t>
      </w:r>
      <w:r>
        <w:rPr>
          <w:i/>
        </w:rPr>
        <w:t xml:space="preserve">BayesFactor</w:t>
      </w:r>
      <w:r>
        <w:t xml:space="preserve"> </w:t>
      </w:r>
      <w:r>
        <w:t xml:space="preserve">(Version 0.9.12.4.2; Morey &amp; Rouder, 2018)</w:t>
      </w:r>
      <w:r>
        <w:t xml:space="preserve">,</w:t>
      </w:r>
      <w:r>
        <w:t xml:space="preserve"> </w:t>
      </w:r>
      <w:r>
        <w:rPr>
          <w:i/>
        </w:rPr>
        <w:t xml:space="preserve">brms</w:t>
      </w:r>
      <w:r>
        <w:t xml:space="preserve"> </w:t>
      </w:r>
      <w:r>
        <w:t xml:space="preserve">(Version 2.13.0; Bürkner, 2018)</w:t>
      </w:r>
      <w:r>
        <w:t xml:space="preserve">,</w:t>
      </w:r>
      <w:r>
        <w:t xml:space="preserve"> </w:t>
      </w:r>
      <w:r>
        <w:rPr>
          <w:i/>
        </w:rPr>
        <w:t xml:space="preserve">broom</w:t>
      </w:r>
      <w:r>
        <w:t xml:space="preserve"> </w:t>
      </w:r>
      <w:r>
        <w:t xml:space="preserve">(Version 0.5.6; Robinson &amp; Hayes, 2020)</w:t>
      </w:r>
      <w:r>
        <w:t xml:space="preserve">,</w:t>
      </w:r>
      <w:r>
        <w:t xml:space="preserve"> </w:t>
      </w:r>
      <w:r>
        <w:rPr>
          <w:i/>
        </w:rPr>
        <w:t xml:space="preserve">cowplot</w:t>
      </w:r>
      <w:r>
        <w:t xml:space="preserve"> </w:t>
      </w:r>
      <w:r>
        <w:t xml:space="preserve">(Version 1.0.0; Wilke, 2019)</w:t>
      </w:r>
      <w:r>
        <w:t xml:space="preserve">,</w:t>
      </w:r>
      <w:r>
        <w:t xml:space="preserve"> </w:t>
      </w:r>
      <w:r>
        <w:rPr>
          <w:i/>
        </w:rPr>
        <w:t xml:space="preserve">dplyr</w:t>
      </w:r>
      <w:r>
        <w:t xml:space="preserve"> </w:t>
      </w:r>
      <w:r>
        <w:t xml:space="preserve">(Version 1.0.0; Wickham et al., 2020)</w:t>
      </w:r>
      <w:r>
        <w:t xml:space="preserve">,</w:t>
      </w:r>
      <w:r>
        <w:t xml:space="preserve"> </w:t>
      </w:r>
      <w:r>
        <w:rPr>
          <w:i/>
        </w:rPr>
        <w:t xml:space="preserve">ggplot2</w:t>
      </w:r>
      <w:r>
        <w:t xml:space="preserve"> </w:t>
      </w:r>
      <w:r>
        <w:t xml:space="preserve">(Version 3.3.1; Wickham, 2016)</w:t>
      </w:r>
      <w:r>
        <w:t xml:space="preserve">,</w:t>
      </w:r>
      <w:r>
        <w:t xml:space="preserve"> </w:t>
      </w:r>
      <w:r>
        <w:rPr>
          <w:i/>
        </w:rPr>
        <w:t xml:space="preserve">papaja</w:t>
      </w:r>
      <w:r>
        <w:t xml:space="preserve"> </w:t>
      </w:r>
      <w:r>
        <w:t xml:space="preserve">(Version 0.1.0.9942; Aust &amp; Barth, 2020)</w:t>
      </w:r>
      <w:r>
        <w:t xml:space="preserve">, and</w:t>
      </w:r>
      <w:r>
        <w:t xml:space="preserve"> </w:t>
      </w:r>
      <w:r>
        <w:rPr>
          <w:i/>
        </w:rPr>
        <w:t xml:space="preserve">tidyr</w:t>
      </w:r>
      <w:r>
        <w:t xml:space="preserve"> </w:t>
      </w:r>
      <w:r>
        <w:t xml:space="preserve">(Version 1.1.0; Wickham &amp; Henry, 2020)</w:t>
      </w:r>
      <w:r>
        <w:t xml:space="preserve"> </w:t>
      </w:r>
      <w:r>
        <w:t xml:space="preserve">for all our analyses.</w:t>
      </w:r>
    </w:p>
    <w:p>
      <w:pPr>
        <w:pStyle w:val="berschrift3"/>
      </w:pPr>
      <w:bookmarkStart w:id="31" w:name="rejection-criteria"/>
      <w:r>
        <w:t xml:space="preserve">Rejection criteria.</w:t>
      </w:r>
      <w:bookmarkEnd w:id="31"/>
    </w:p>
    <w:p>
      <w:pPr>
        <w:pStyle w:val="FirstParagraph"/>
      </w:pPr>
      <w:r>
        <w:t xml:space="preserve">Participants will be excluded for performing below 70% accuracy in one or two of the search tasks, for performing below 60% accuracy in the discrimination task, for having extremely fast or slow reaction times in one or more of the tasks (below 250 milliseconds or above 5 seconds in more than 25% of the trials), and for failing the comprehension check. For the response-conditional ROC analysis, only participants that committed at least one error of each error type (for example, mistaking a</w:t>
      </w:r>
      <w:r>
        <w:t xml:space="preserve"> </w:t>
      </w:r>
      <w:r>
        <w:rPr>
          <w:i/>
        </w:rPr>
        <w:t xml:space="preserve">Q</w:t>
      </w:r>
      <w:r>
        <w:t xml:space="preserve"> </w:t>
      </w:r>
      <w:r>
        <w:t xml:space="preserve">of</w:t>
      </w:r>
      <w:r>
        <w:t xml:space="preserve"> </w:t>
      </w:r>
      <w:r>
        <w:rPr>
          <w:i/>
        </w:rPr>
        <w:t xml:space="preserve">O</w:t>
      </w:r>
      <w:r>
        <w:t xml:space="preserve"> </w:t>
      </w:r>
      <w:r>
        <w:t xml:space="preserve">and mistaking an</w:t>
      </w:r>
      <w:r>
        <w:t xml:space="preserve"> </w:t>
      </w:r>
      <w:r>
        <w:rPr>
          <w:i/>
        </w:rPr>
        <w:t xml:space="preserve">O</w:t>
      </w:r>
      <w:r>
        <w:t xml:space="preserve"> </w:t>
      </w:r>
      <w:r>
        <w:t xml:space="preserve">for</w:t>
      </w:r>
      <w:r>
        <w:t xml:space="preserve"> </w:t>
      </w:r>
      <w:r>
        <w:rPr>
          <w:i/>
        </w:rPr>
        <w:t xml:space="preserve">Q</w:t>
      </w:r>
      <w:r>
        <w:t xml:space="preserve">), will be included.</w:t>
      </w:r>
    </w:p>
    <w:p>
      <w:pPr>
        <w:pStyle w:val="Textkrper"/>
      </w:pPr>
      <w:r>
        <w:t xml:space="preserve">Trials with response time below 250 milliseconds or above 5 seconds will be excluded.</w:t>
      </w:r>
    </w:p>
    <w:p>
      <w:pPr>
        <w:pStyle w:val="Textkrper"/>
      </w:pPr>
      <w:r>
        <w:t xml:space="preserve">Only correct visual search trials will be analyzed.</w:t>
      </w:r>
    </w:p>
    <w:p>
      <w:pPr>
        <w:pStyle w:val="berschrift3"/>
      </w:pPr>
      <w:bookmarkStart w:id="32" w:name="dependent-variables-and-analysis-plan"/>
      <w:r>
        <w:t xml:space="preserve">Dependent variables and analysis plan.</w:t>
      </w:r>
      <w:bookmarkEnd w:id="32"/>
    </w:p>
    <w:p>
      <w:pPr>
        <w:pStyle w:val="FirstParagraph"/>
      </w:pPr>
      <w:r>
        <w:t xml:space="preserve">The following measures will be extracted for each participant:</w:t>
      </w:r>
    </w:p>
    <w:p>
      <w:pPr>
        <w:pStyle w:val="Compact"/>
        <w:numPr>
          <w:numId w:val="1007"/>
          <w:ilvl w:val="0"/>
        </w:numPr>
      </w:pPr>
      <w:r>
        <w:t xml:space="preserve">The difference between the area under the response-conditional type-2 ROC curves for the two responses [e.g.,</w:t>
      </w:r>
      <w:r>
        <w:t xml:space="preserve"> </w:t>
      </w:r>
      <w:r>
        <w:t xml:space="preserve">‘</w:t>
      </w:r>
      <w:r>
        <w:rPr>
          <w:i/>
        </w:rPr>
        <w:t xml:space="preserve">Q</w:t>
      </w:r>
      <w:r>
        <w:t xml:space="preserve">’</w:t>
      </w:r>
      <w:r>
        <w:t xml:space="preserve"> </w:t>
      </w:r>
      <w:r>
        <w:t xml:space="preserve">and</w:t>
      </w:r>
      <w:r>
        <w:t xml:space="preserve"> </w:t>
      </w:r>
      <w:r>
        <w:t xml:space="preserve">‘</w:t>
      </w:r>
      <w:r>
        <w:rPr>
          <w:i/>
        </w:rPr>
        <w:t xml:space="preserve">O</w:t>
      </w:r>
      <w:r>
        <w:t xml:space="preserve">’</w:t>
      </w:r>
      <w:r>
        <w:t xml:space="preserve">]:</w:t>
      </w:r>
      <w:r>
        <w:t xml:space="preserve"> </w:t>
      </w:r>
      <m:oMath>
        <m:sSub>
          <m:e>
            <m:r>
              <m:t>Δ</m:t>
            </m:r>
          </m:e>
          <m:sub>
            <m:r>
              <m:t>m</m:t>
            </m:r>
          </m:sub>
        </m:sSub>
      </m:oMath>
      <w:r>
        <w:t xml:space="preserve">.</w:t>
      </w:r>
    </w:p>
    <w:p>
      <w:pPr>
        <w:pStyle w:val="FirstParagraph"/>
      </w:pPr>
      <w:r>
        <w:t xml:space="preserve">Response conditional ROC curves will be extracted, by plotting the empirical cumulative distribution of confidence ratings for correct responses against the same cumulative distribution for incorrect responses. This will be done separately for the two responses, resulting in two curves. The area under the response-conditional ROC curve is a measure of metacognitive sensitivity. The area between the two curves is a measure of metacognitive asymmetry</w:t>
      </w:r>
      <w:r>
        <w:t xml:space="preserve"> </w:t>
      </w:r>
      <w:r>
        <w:t xml:space="preserve">(Meuwese et al., 2014)</w:t>
      </w:r>
      <w:r>
        <w:t xml:space="preserve">. This difference will be used to test Hypothesis 1.</w:t>
      </w:r>
    </w:p>
    <w:p>
      <w:pPr>
        <w:pStyle w:val="Compact"/>
        <w:numPr>
          <w:numId w:val="1008"/>
          <w:ilvl w:val="0"/>
        </w:numPr>
      </w:pPr>
      <w:r>
        <w:t xml:space="preserve">The difference between search slopes for the two visual search tasks:</w:t>
      </w:r>
      <w:r>
        <w:t xml:space="preserve"> </w:t>
      </w:r>
      <m:oMath>
        <m:sSub>
          <m:e>
            <m:r>
              <m:t>Δ</m:t>
            </m:r>
          </m:e>
          <m:sub>
            <m:r>
              <m:t>s</m:t>
            </m:r>
          </m:sub>
        </m:sSub>
      </m:oMath>
      <w:r>
        <w:t xml:space="preserve">.</w:t>
      </w:r>
    </w:p>
    <w:p>
      <w:pPr>
        <w:pStyle w:val="FirstParagraph"/>
      </w:pPr>
      <w:r>
        <w:t xml:space="preserve">For each visual search task, the slope will be extracted for target present and target absent trials separately, and the average value will be taken. The difference between these average slopes is a measure of search asymmetry. This difference will be used to test Hypothesis 2.</w:t>
      </w:r>
    </w:p>
    <w:p>
      <w:pPr>
        <w:pStyle w:val="Compact"/>
        <w:numPr>
          <w:numId w:val="1009"/>
          <w:ilvl w:val="0"/>
        </w:numPr>
      </w:pPr>
      <w:r>
        <w:t xml:space="preserve">The relative difference between the area under the response-conditional type-2 ROC curves for the two responses (</w:t>
      </w:r>
      <m:oMath>
        <m:sSubSup>
          <m:e>
            <m:r>
              <m:t>Δ</m:t>
            </m:r>
          </m:e>
          <m:sub>
            <m:r>
              <m:t>m</m:t>
            </m:r>
          </m:sub>
          <m:sup>
            <m:r>
              <m:t>r</m:t>
            </m:r>
            <m:r>
              <m:t>e</m:t>
            </m:r>
            <m:r>
              <m:t>l</m:t>
            </m:r>
          </m:sup>
        </m:sSubSup>
      </m:oMath>
      <w:r>
        <w:t xml:space="preserve">) will be defined as the area between the two curves, divided by the sum of the areas under the two curves.</w:t>
      </w:r>
    </w:p>
    <w:p>
      <w:pPr>
        <w:pStyle w:val="FirstParagraph"/>
      </w:pPr>
      <w:r>
        <w:t xml:space="preserve">This relative difference will be used to test Hypothesis 3.</w:t>
      </w:r>
    </w:p>
    <w:p>
      <w:pPr>
        <w:pStyle w:val="Compact"/>
        <w:numPr>
          <w:numId w:val="1010"/>
          <w:ilvl w:val="0"/>
        </w:numPr>
      </w:pPr>
      <w:r>
        <w:t xml:space="preserve">The relative difference between search slopes for the two visual search tasks (</w:t>
      </w:r>
      <m:oMath>
        <m:sSubSup>
          <m:e>
            <m:r>
              <m:t>Δ</m:t>
            </m:r>
          </m:e>
          <m:sub>
            <m:r>
              <m:t>s</m:t>
            </m:r>
          </m:sub>
          <m:sup>
            <m:r>
              <m:t>r</m:t>
            </m:r>
            <m:r>
              <m:t>e</m:t>
            </m:r>
            <m:r>
              <m:t>l</m:t>
            </m:r>
          </m:sup>
        </m:sSubSup>
      </m:oMath>
      <w:r>
        <w:t xml:space="preserve">) will be defined as the difference between the two search slopes, divided by the sum of their absolute values.</w:t>
      </w:r>
    </w:p>
    <w:p>
      <w:pPr>
        <w:pStyle w:val="FirstParagraph"/>
      </w:pPr>
      <w:r>
        <w:t xml:space="preserve">This relative difference will be used to test Hypothesis 3.</w:t>
      </w:r>
    </w:p>
    <w:p>
      <w:pPr>
        <w:pStyle w:val="Compact"/>
        <w:numPr>
          <w:numId w:val="1011"/>
          <w:ilvl w:val="0"/>
        </w:numPr>
      </w:pPr>
      <w:r>
        <w:t xml:space="preserve">The relative difference between search slopes for the two visual search responses:</w:t>
      </w:r>
      <m:oMath>
        <m:sSubSup>
          <m:e>
            <m:r>
              <m:t>Δ</m:t>
            </m:r>
          </m:e>
          <m:sub>
            <m:r>
              <m:t>r</m:t>
            </m:r>
          </m:sub>
          <m:sup>
            <m:r>
              <m:t>r</m:t>
            </m:r>
            <m:r>
              <m:t>e</m:t>
            </m:r>
            <m:r>
              <m:t>l</m:t>
            </m:r>
          </m:sup>
        </m:sSubSup>
      </m:oMath>
      <w:r>
        <w:t xml:space="preserve">.</w:t>
      </w:r>
    </w:p>
    <w:p>
      <w:pPr>
        <w:pStyle w:val="FirstParagraph"/>
      </w:pPr>
      <w:r>
        <w:t xml:space="preserve">For each visual search response (</w:t>
      </w:r>
      <w:r>
        <w:t xml:space="preserve">‘</w:t>
      </w:r>
      <w:r>
        <w:t xml:space="preserve">present</w:t>
      </w:r>
      <w:r>
        <w:t xml:space="preserve">’</w:t>
      </w:r>
      <w:r>
        <w:t xml:space="preserve"> </w:t>
      </w:r>
      <w:r>
        <w:t xml:space="preserve">and</w:t>
      </w:r>
      <w:r>
        <w:t xml:space="preserve"> </w:t>
      </w:r>
      <w:r>
        <w:t xml:space="preserve">‘</w:t>
      </w:r>
      <w:r>
        <w:t xml:space="preserve">absent</w:t>
      </w:r>
      <w:r>
        <w:t xml:space="preserve">’</w:t>
      </w:r>
      <w:r>
        <w:t xml:space="preserve">), the slope will be extracted for the two stimulus assignments separately, and the average value will be taken. The relative difference between search slopes for the two visual search responses (</w:t>
      </w:r>
      <m:oMath>
        <m:sSubSup>
          <m:e>
            <m:r>
              <m:t>Δ</m:t>
            </m:r>
          </m:e>
          <m:sub>
            <m:r>
              <m:t>r</m:t>
            </m:r>
          </m:sub>
          <m:sup>
            <m:r>
              <m:t>r</m:t>
            </m:r>
            <m:r>
              <m:t>e</m:t>
            </m:r>
            <m:r>
              <m:t>l</m:t>
            </m:r>
          </m:sup>
        </m:sSubSup>
      </m:oMath>
      <w:r>
        <w:t xml:space="preserve">) will be defined as the difference between the two search slopes, divided by the sum of their absolute values.</w:t>
      </w:r>
    </w:p>
    <w:p>
      <w:pPr>
        <w:pStyle w:val="Textkrper"/>
      </w:pPr>
      <w:r>
        <w:t xml:space="preserve">This relative difference will be used to test Hypothesis 4.</w:t>
      </w:r>
    </w:p>
    <w:p>
      <w:pPr>
        <w:pStyle w:val="Textkrper"/>
      </w:pPr>
      <w:r>
        <w:t xml:space="preserve">For each of the six experiments, Hypothesis 1 (search asymmetry replication) will be tested using a two tailed t-test at the group level with</w:t>
      </w:r>
      <w:r>
        <w:t xml:space="preserve"> </w:t>
      </w:r>
      <m:oMath>
        <m:r>
          <m:t>α</m:t>
        </m:r>
        <m:r>
          <m:t>=</m:t>
        </m:r>
        <m:r>
          <m:t>0.05</m:t>
        </m:r>
      </m:oMath>
      <w:r>
        <w:t xml:space="preserve">.</w:t>
      </w:r>
    </w:p>
    <w:p>
      <w:pPr>
        <w:pStyle w:val="Textkrper"/>
      </w:pPr>
      <w:r>
        <w:t xml:space="preserve">Conditioned on that search asymmetry will be replicated, for each of the six experiments, Hypothesis 2 (metacognitive asymmetry follows the same direction as search asymmetry) will be tested using a one tailed t-test at the group level with</w:t>
      </w:r>
      <w:r>
        <w:t xml:space="preserve"> </w:t>
      </w:r>
      <m:oMath>
        <m:r>
          <m:t>α</m:t>
        </m:r>
        <m:r>
          <m:t>=</m:t>
        </m:r>
        <m:r>
          <m:t>0.05</m:t>
        </m:r>
      </m:oMath>
      <w:r>
        <w:t xml:space="preserve">.</w:t>
      </w:r>
      <w:r>
        <w:t xml:space="preserve"> </w:t>
      </w:r>
    </w:p>
    <w:p>
      <w:pPr>
        <w:pStyle w:val="Textkrper"/>
      </w:pPr>
      <w:r>
        <w:t xml:space="preserve">Hypothesis 3 will be tested for each experiment by testing the Pearson correlation between</w:t>
      </w:r>
      <w:r>
        <w:t xml:space="preserve"> </w:t>
      </w:r>
      <m:oMath>
        <m:sSubSup>
          <m:e>
            <m:r>
              <m:t>Δ</m:t>
            </m:r>
          </m:e>
          <m:sub>
            <m:r>
              <m:t>m</m:t>
            </m:r>
          </m:sub>
          <m:sup>
            <m:r>
              <m:t>r</m:t>
            </m:r>
            <m:r>
              <m:t>e</m:t>
            </m:r>
            <m:r>
              <m:t>l</m:t>
            </m:r>
          </m:sup>
        </m:sSubSup>
      </m:oMath>
      <w:r>
        <w:t xml:space="preserve"> </w:t>
      </w:r>
      <w:r>
        <w:t xml:space="preserve">and</w:t>
      </w:r>
      <w:r>
        <w:t xml:space="preserve"> </w:t>
      </w:r>
      <m:oMath>
        <m:sSubSup>
          <m:e>
            <m:r>
              <m:t>Δ</m:t>
            </m:r>
          </m:e>
          <m:sub>
            <m:r>
              <m:t>s</m:t>
            </m:r>
          </m:sub>
          <m:sup>
            <m:r>
              <m:t>r</m:t>
            </m:r>
            <m:r>
              <m:t>e</m:t>
            </m:r>
            <m:r>
              <m:t>l</m:t>
            </m:r>
          </m:sup>
        </m:sSubSup>
      </m:oMath>
      <w:r>
        <w:t xml:space="preserve">, across participants. We will also test the Pearson correlation between</w:t>
      </w:r>
      <w:r>
        <w:t xml:space="preserve"> </w:t>
      </w:r>
      <m:oMath>
        <m:sSubSup>
          <m:e>
            <m:r>
              <m:t>Δ</m:t>
            </m:r>
          </m:e>
          <m:sub>
            <m:r>
              <m:t>m</m:t>
            </m:r>
          </m:sub>
          <m:sup>
            <m:r>
              <m:t>r</m:t>
            </m:r>
            <m:r>
              <m:t>e</m:t>
            </m:r>
            <m:r>
              <m:t>l</m:t>
            </m:r>
          </m:sup>
        </m:sSubSup>
      </m:oMath>
      <w:r>
        <w:t xml:space="preserve"> </w:t>
      </w:r>
      <w:r>
        <w:t xml:space="preserve">and</w:t>
      </w:r>
      <w:r>
        <w:t xml:space="preserve"> </w:t>
      </w:r>
      <m:oMath>
        <m:sSubSup>
          <m:e>
            <m:r>
              <m:t>Δ</m:t>
            </m:r>
          </m:e>
          <m:sub>
            <m:r>
              <m:t>s</m:t>
            </m:r>
          </m:sub>
          <m:sup>
            <m:r>
              <m:t>r</m:t>
            </m:r>
            <m:r>
              <m:t>e</m:t>
            </m:r>
            <m:r>
              <m:t>l</m:t>
            </m:r>
          </m:sup>
        </m:sSubSup>
      </m:oMath>
      <w:r>
        <w:t xml:space="preserve"> </w:t>
      </w:r>
      <w:r>
        <w:t xml:space="preserve">pooled across participants from all 6 experiments, and controlling for experiment-specific intercept effects.</w:t>
      </w:r>
    </w:p>
    <w:p>
      <w:pPr>
        <w:pStyle w:val="Textkrper"/>
      </w:pPr>
      <w:r>
        <w:t xml:space="preserve">Hypothesis 4 will be tested for each experiment by testing the Pearson correlation between</w:t>
      </w:r>
      <w:r>
        <w:t xml:space="preserve"> </w:t>
      </w:r>
      <m:oMath>
        <m:sSubSup>
          <m:e>
            <m:r>
              <m:t>Δ</m:t>
            </m:r>
          </m:e>
          <m:sub>
            <m:r>
              <m:t>s</m:t>
            </m:r>
          </m:sub>
          <m:sup>
            <m:r>
              <m:t>r</m:t>
            </m:r>
            <m:r>
              <m:t>e</m:t>
            </m:r>
            <m:r>
              <m:t>l</m:t>
            </m:r>
          </m:sup>
        </m:sSubSup>
      </m:oMath>
      <w:r>
        <w:t xml:space="preserve"> </w:t>
      </w:r>
      <w:r>
        <w:t xml:space="preserve">and</w:t>
      </w:r>
      <w:r>
        <w:t xml:space="preserve"> </w:t>
      </w:r>
      <m:oMath>
        <m:sSubSup>
          <m:e>
            <m:r>
              <m:t>Δ</m:t>
            </m:r>
          </m:e>
          <m:sub>
            <m:r>
              <m:t>r</m:t>
            </m:r>
          </m:sub>
          <m:sup>
            <m:r>
              <m:t>r</m:t>
            </m:r>
            <m:r>
              <m:t>e</m:t>
            </m:r>
            <m:r>
              <m:t>l</m:t>
            </m:r>
          </m:sup>
        </m:sSubSup>
      </m:oMath>
      <w:r>
        <w:t xml:space="preserve">, across participants. We will also test the Pearson correlation between</w:t>
      </w:r>
      <w:r>
        <w:t xml:space="preserve"> </w:t>
      </w:r>
      <m:oMath>
        <m:sSubSup>
          <m:e>
            <m:r>
              <m:t>Δ</m:t>
            </m:r>
          </m:e>
          <m:sub>
            <m:r>
              <m:t>s</m:t>
            </m:r>
          </m:sub>
          <m:sup>
            <m:r>
              <m:t>r</m:t>
            </m:r>
            <m:r>
              <m:t>e</m:t>
            </m:r>
            <m:r>
              <m:t>l</m:t>
            </m:r>
          </m:sup>
        </m:sSubSup>
      </m:oMath>
      <w:r>
        <w:t xml:space="preserve"> </w:t>
      </w:r>
      <w:r>
        <w:t xml:space="preserve">and</w:t>
      </w:r>
      <w:r>
        <w:t xml:space="preserve"> </w:t>
      </w:r>
      <m:oMath>
        <m:sSubSup>
          <m:e>
            <m:r>
              <m:t>Δ</m:t>
            </m:r>
          </m:e>
          <m:sub>
            <m:r>
              <m:t>r</m:t>
            </m:r>
          </m:sub>
          <m:sup>
            <m:r>
              <m:t>r</m:t>
            </m:r>
            <m:r>
              <m:t>e</m:t>
            </m:r>
            <m:r>
              <m:t>l</m:t>
            </m:r>
          </m:sup>
        </m:sSubSup>
      </m:oMath>
      <w:r>
        <w:t xml:space="preserve"> </w:t>
      </w:r>
      <w:r>
        <w:t xml:space="preserve">pooled across participants from all 6 experiments, and controlling for experiment-specific intercept effects.</w:t>
      </w:r>
    </w:p>
    <w:p>
      <w:pPr>
        <w:pStyle w:val="Textkrper"/>
      </w:pPr>
      <w:r>
        <w:t xml:space="preserve">For hypotheses 1 and 2, in case of a null result, a Bayes factor will be computed using the BayesFactor R package</w:t>
      </w:r>
      <w:r>
        <w:t xml:space="preserve"> </w:t>
      </w:r>
      <w:r>
        <w:t xml:space="preserve">(Morey, Rouder, Jamil, &amp; Morey, 2015)</w:t>
      </w:r>
      <w:r>
        <w:t xml:space="preserve"> </w:t>
      </w:r>
      <w:r>
        <w:t xml:space="preserve">and using a Jeffrey-Zellner-Siow Prior with a medium rscale parameter of</w:t>
      </w:r>
      <w:r>
        <w:t xml:space="preserve"> </w:t>
      </w:r>
      <m:oMath>
        <m:rad>
          <m:radPr>
            <m:degHide m:val="1"/>
          </m:radPr>
          <m:deg/>
          <m:e>
            <m:r>
              <m:t>2</m:t>
            </m:r>
          </m:e>
        </m:rad>
        <m:r>
          <m:t>/</m:t>
        </m:r>
        <m:r>
          <m:t>2</m:t>
        </m:r>
      </m:oMath>
      <w:r>
        <w:t xml:space="preserve">. For hypotheses 3 and 4, in case of a null result, the BayesFactor package will be used to compute a Bayes factor using a shifted, scaled beta(3,3) prior distribution for the correlation.</w:t>
      </w:r>
    </w:p>
    <w:p>
      <w:pPr>
        <w:pStyle w:val="berschrift3"/>
      </w:pPr>
      <w:bookmarkStart w:id="33" w:name="statistical-power"/>
      <w:r>
        <w:t xml:space="preserve">Statistical power.</w:t>
      </w:r>
      <w:bookmarkEnd w:id="33"/>
    </w:p>
    <w:p>
      <w:pPr>
        <w:pStyle w:val="FirstParagraph"/>
      </w:pPr>
      <w:r>
        <w:t xml:space="preserve">Statistical power calculations were performed using the R-pwr package</w:t>
      </w:r>
      <w:r>
        <w:t xml:space="preserve"> </w:t>
      </w:r>
      <w:r>
        <w:t xml:space="preserve">(Champely, 2020)</w:t>
      </w:r>
      <w:r>
        <w:t xml:space="preserve">.</w:t>
      </w:r>
    </w:p>
    <w:p>
      <w:pPr>
        <w:numPr>
          <w:numId w:val="1012"/>
          <w:ilvl w:val="0"/>
        </w:numPr>
      </w:pPr>
      <w:r>
        <w:t xml:space="preserve">Hypothesis 1: With 320 participants, we will have a statistical power of 95% to detect effects of size 0.20, which is less than fifth the effect size we observed for search slopes in our pilot sample.</w:t>
      </w:r>
    </w:p>
    <w:p>
      <w:pPr>
        <w:numPr>
          <w:numId w:val="1012"/>
          <w:ilvl w:val="0"/>
        </w:numPr>
      </w:pPr>
      <w:r>
        <w:t xml:space="preserve">Hypothesis 2: With 320 participants, we will have a statistical power of 95% to detect effects of size 0.18, which is less than half the effect size we observed for metacognitive asymmetry in our pilot sample.</w:t>
      </w:r>
    </w:p>
    <w:p>
      <w:pPr>
        <w:numPr>
          <w:numId w:val="1012"/>
          <w:ilvl w:val="0"/>
        </w:numPr>
      </w:pPr>
      <w:r>
        <w:t xml:space="preserve">Hypothesis 3: For each stimulus pair, will have a statistical power of 95% to detect a Pearson correlation of 0.20 between search and metacognitive asymmetries. Across all six stimulus pairs, we will have a statistical power of 95% to detect a Pearson correlation of 0.08.</w:t>
      </w:r>
    </w:p>
    <w:p>
      <w:pPr>
        <w:numPr>
          <w:numId w:val="1012"/>
          <w:ilvl w:val="0"/>
        </w:numPr>
      </w:pPr>
      <w:r>
        <w:t xml:space="preserve">Hypothesis 4: For each stimulus pair, will have a statistical power of 95% to detect a Pearson correlation of 0.20 between search type and search response asymmetries. Across all six stimulus pairs, we will have a statistical power of 95% to detect a Pearson correlation of 0.08.</w:t>
      </w:r>
    </w:p>
    <w:p>
      <w:pPr>
        <w:pStyle w:val="berschrift2"/>
      </w:pPr>
      <w:bookmarkStart w:id="34" w:name="data-availability"/>
      <w:r>
        <w:t xml:space="preserve">Data availability</w:t>
      </w:r>
      <w:bookmarkEnd w:id="34"/>
    </w:p>
    <w:p>
      <w:pPr>
        <w:pStyle w:val="FirstParagraph"/>
      </w:pPr>
      <w:r>
        <w:t xml:space="preserve">All raw data will be made fully available on OSF and on the study’s GitHub respository:</w:t>
      </w:r>
      <w:r>
        <w:t xml:space="preserve"> </w:t>
      </w:r>
      <w:hyperlink r:id="rId35">
        <w:r>
          <w:rPr>
            <w:rStyle w:val="Hyperlink"/>
          </w:rPr>
          <w:t xml:space="preserve">https://github.com/matanmazor/asymmetry</w:t>
        </w:r>
      </w:hyperlink>
      <w:r>
        <w:t xml:space="preserve">.</w:t>
      </w:r>
      <w:r>
        <w:t xml:space="preserve"> </w:t>
      </w:r>
      <w:r>
        <w:t xml:space="preserve">Pilot data is available at:</w:t>
      </w:r>
      <w:r>
        <w:t xml:space="preserve"> </w:t>
      </w:r>
      <w:hyperlink r:id="rId36">
        <w:r>
          <w:rPr>
            <w:rStyle w:val="Hyperlink"/>
          </w:rPr>
          <w:t xml:space="preserve">https://github.com/matanmazor/asymmetry/blob/master/Experiments/Q_in_O/results/pilot/jatos_results_batch3.csv</w:t>
        </w:r>
      </w:hyperlink>
    </w:p>
    <w:p>
      <w:pPr>
        <w:pStyle w:val="berschrift2"/>
      </w:pPr>
      <w:bookmarkStart w:id="37" w:name="code-availability"/>
      <w:r>
        <w:t xml:space="preserve">Code availability</w:t>
      </w:r>
      <w:bookmarkEnd w:id="37"/>
    </w:p>
    <w:p>
      <w:pPr>
        <w:pStyle w:val="FirstParagraph"/>
      </w:pPr>
      <w:r>
        <w:t xml:space="preserve">All analysis code will be openly shared on the study’s GitHub repository:</w:t>
      </w:r>
      <w:r>
        <w:t xml:space="preserve"> </w:t>
      </w:r>
      <w:hyperlink r:id="rId35">
        <w:r>
          <w:rPr>
            <w:rStyle w:val="Hyperlink"/>
          </w:rPr>
          <w:t xml:space="preserve">https://github.com/matanmazor/asymmetry</w:t>
        </w:r>
      </w:hyperlink>
      <w:r>
        <w:t xml:space="preserve">. For complete reproducibility, the RMarkdown file used to generate the final version of the manuscript, including the generation of all figures and extraction of all test statistics, will be available on our GitHub repository.</w:t>
      </w:r>
    </w:p>
    <w:p>
      <w:pPr>
        <w:pStyle w:val="berschrift2"/>
      </w:pPr>
      <w:bookmarkStart w:id="38" w:name="acknowledgements"/>
      <w:r>
        <w:t xml:space="preserve">Acknowledgements</w:t>
      </w:r>
      <w:bookmarkEnd w:id="38"/>
    </w:p>
    <w:p>
      <w:pPr>
        <w:pStyle w:val="berschrift2"/>
      </w:pPr>
      <w:bookmarkStart w:id="39" w:name="author-contributions"/>
      <w:r>
        <w:t xml:space="preserve">Author contributions</w:t>
      </w:r>
      <w:bookmarkEnd w:id="39"/>
    </w:p>
    <w:p>
      <w:pPr>
        <w:pStyle w:val="berschrift2"/>
      </w:pPr>
      <w:bookmarkStart w:id="40" w:name="competing-interests"/>
      <w:r>
        <w:t xml:space="preserve">Competing interests</w:t>
      </w:r>
      <w:bookmarkEnd w:id="40"/>
    </w:p>
    <w:p>
      <w:pPr>
        <w:pStyle w:val="FirstParagraph"/>
      </w:pPr>
      <w:r>
        <w:t xml:space="preserve">The authors declare no competing interests.</w:t>
      </w:r>
    </w:p>
    <w:p>
      <w:pPr>
        <w:pStyle w:val="berschrift2"/>
      </w:pPr>
      <w:bookmarkStart w:id="41" w:name="table-1-design-table"/>
      <w:r>
        <w:t xml:space="preserve">Table 1: Design Table</w:t>
      </w:r>
      <w:bookmarkEnd w:id="41"/>
    </w:p>
    <w:tbl>
      <w:tblPr>
        <w:tblStyle w:val="Table"/>
        <w:tblW w:type="pct" w:w="5000.0"/>
        <w:tblLook w:firstRow="1"/>
      </w:tblPr>
      <w:tblGrid>
        <w:gridCol w:w="493"/>
        <w:gridCol w:w="1640"/>
        <w:gridCol w:w="1275"/>
        <w:gridCol w:w="1699"/>
        <w:gridCol w:w="2810"/>
      </w:tblGrid>
      <w:tr>
        <w:trPr>
          <w:cnfStyle w:firstRow="1"/>
        </w:trPr>
        <w:tc>
          <w:tcPr>
            <w:tcBorders>
              <w:bottom w:val="single"/>
            </w:tcBorders>
            <w:vAlign w:val="bottom"/>
          </w:tcPr>
          <w:p>
            <w:pPr>
              <w:pStyle w:val="Compact"/>
              <w:jc w:val="left"/>
            </w:pPr>
            <w:r>
              <w:t xml:space="preserve">Question</w:t>
            </w:r>
          </w:p>
        </w:tc>
        <w:tc>
          <w:tcPr>
            <w:tcBorders>
              <w:bottom w:val="single"/>
            </w:tcBorders>
            <w:vAlign w:val="bottom"/>
          </w:tcPr>
          <w:p>
            <w:pPr>
              <w:pStyle w:val="Compact"/>
              <w:jc w:val="left"/>
            </w:pPr>
            <w:r>
              <w:t xml:space="preserve">Hypothesis</w:t>
            </w:r>
          </w:p>
        </w:tc>
        <w:tc>
          <w:tcPr>
            <w:tcBorders>
              <w:bottom w:val="single"/>
            </w:tcBorders>
            <w:vAlign w:val="bottom"/>
          </w:tcPr>
          <w:p>
            <w:pPr>
              <w:pStyle w:val="Compact"/>
              <w:jc w:val="left"/>
            </w:pPr>
            <w:r>
              <w:t xml:space="preserve">Sampling Plan</w:t>
            </w:r>
          </w:p>
        </w:tc>
        <w:tc>
          <w:tcPr>
            <w:tcBorders>
              <w:bottom w:val="single"/>
            </w:tcBorders>
            <w:vAlign w:val="bottom"/>
          </w:tcPr>
          <w:p>
            <w:pPr>
              <w:pStyle w:val="Compact"/>
              <w:jc w:val="left"/>
            </w:pPr>
            <w:r>
              <w:t xml:space="preserve">Analysis Plan</w:t>
            </w:r>
          </w:p>
        </w:tc>
        <w:tc>
          <w:tcPr>
            <w:tcBorders>
              <w:bottom w:val="single"/>
            </w:tcBorders>
            <w:vAlign w:val="bottom"/>
          </w:tcPr>
          <w:p>
            <w:pPr>
              <w:pStyle w:val="Compact"/>
              <w:jc w:val="left"/>
            </w:pPr>
            <w:r>
              <w:t xml:space="preserve">Interpretation given to different outcomes</w:t>
            </w:r>
          </w:p>
        </w:tc>
      </w:tr>
      <w:tr>
        <w:tc>
          <w:p>
            <w:pPr>
              <w:pStyle w:val="Compact"/>
              <w:jc w:val="left"/>
            </w:pPr>
            <w:r>
              <w:t xml:space="preserve">Replication: search asymmetry</w:t>
            </w:r>
          </w:p>
        </w:tc>
        <w:tc>
          <w:p>
            <w:pPr>
              <w:pStyle w:val="Compact"/>
              <w:jc w:val="left"/>
            </w:pPr>
            <w:r>
              <w:t xml:space="preserve">Visual search is more efficient when searching for the presence rather than the absence of a feature, or when searching for a non-default target among default distractors rather than vice versa.</w:t>
            </w:r>
          </w:p>
        </w:tc>
        <w:tc>
          <w:p>
            <w:pPr>
              <w:pStyle w:val="Compact"/>
              <w:jc w:val="left"/>
            </w:pPr>
            <w:r>
              <w:t xml:space="preserve">320 included participants in each experiment</w:t>
            </w:r>
            <w:r>
              <w:t xml:space="preserve"> </w:t>
            </w:r>
            <m:oMath>
              <m:r>
                <m:t>×</m:t>
              </m:r>
            </m:oMath>
            <w:r>
              <w:t xml:space="preserve"> </w:t>
            </w:r>
            <w:r>
              <w:t xml:space="preserve">6 experiments. We will have 95% power to detect an effect size of 0.2.</w:t>
            </w:r>
          </w:p>
        </w:tc>
        <w:tc>
          <w:p>
            <w:pPr>
              <w:pStyle w:val="Compact"/>
              <w:jc w:val="left"/>
            </w:pPr>
            <w:r>
              <w:t xml:space="preserve">T test on</w:t>
            </w:r>
            <w:r>
              <w:t xml:space="preserve"> </w:t>
            </w:r>
            <m:oMath>
              <m:sSub>
                <m:e>
                  <m:r>
                    <m:t>Δ</m:t>
                  </m:r>
                </m:e>
                <m:sub>
                  <m:r>
                    <m:t>m</m:t>
                  </m:r>
                </m:sub>
              </m:sSub>
            </m:oMath>
            <w:r>
              <w:t xml:space="preserve"> </w:t>
            </w:r>
            <w:r>
              <w:t xml:space="preserve">against 0. If p&gt;0.05, compute Bayes factor with JZS prior (rsacle=0.707).</w:t>
            </w:r>
          </w:p>
        </w:tc>
        <w:tc>
          <w:p/>
        </w:tc>
      </w:tr>
      <w:tr>
        <w:tc>
          <w:p>
            <w:pPr>
              <w:pStyle w:val="Compact"/>
              <w:jc w:val="left"/>
            </w:pPr>
            <w:r>
              <w:t xml:space="preserve">Does metacognitive asymmetry extend to sub-stimulus features?</w:t>
            </w:r>
          </w:p>
        </w:tc>
        <w:tc>
          <w:p>
            <w:pPr>
              <w:pStyle w:val="Compact"/>
              <w:jc w:val="left"/>
            </w:pPr>
            <w:r>
              <w:t xml:space="preserve">Metacognitive asymmetry, measured as the area between the two response conditional ROC curves, follows the same direction as search asymmetry.</w:t>
            </w:r>
          </w:p>
        </w:tc>
        <w:tc>
          <w:p>
            <w:pPr>
              <w:pStyle w:val="Compact"/>
              <w:jc w:val="left"/>
            </w:pPr>
            <w:r>
              <w:t xml:space="preserve">320 included participants in each experiment</w:t>
            </w:r>
            <w:r>
              <w:t xml:space="preserve"> </w:t>
            </w:r>
            <m:oMath>
              <m:r>
                <m:t>×</m:t>
              </m:r>
            </m:oMath>
            <w:r>
              <w:t xml:space="preserve"> </w:t>
            </w:r>
            <w:r>
              <w:t xml:space="preserve">6 experiments. We will have 95% power to detect an effect size of 0.2.</w:t>
            </w:r>
          </w:p>
        </w:tc>
        <w:tc>
          <w:p>
            <w:pPr>
              <w:pStyle w:val="Compact"/>
              <w:jc w:val="left"/>
            </w:pPr>
            <w:r>
              <w:t xml:space="preserve">Conditioned on a significant effect for H1: T test on</w:t>
            </w:r>
            <w:r>
              <w:t xml:space="preserve"> </w:t>
            </w:r>
            <m:oMath>
              <m:sSub>
                <m:e>
                  <m:r>
                    <m:t>Δ</m:t>
                  </m:r>
                </m:e>
                <m:sub>
                  <m:r>
                    <m:t>m</m:t>
                  </m:r>
                </m:sub>
              </m:sSub>
            </m:oMath>
            <w:r>
              <w:t xml:space="preserve"> </w:t>
            </w:r>
            <w:r>
              <w:t xml:space="preserve">against 0. If p&gt;0.05, compute Bayes factor with JZS prior (rscale=0.707).</w:t>
            </w:r>
          </w:p>
        </w:tc>
        <w:tc>
          <w:p>
            <w:pPr>
              <w:pStyle w:val="Compact"/>
              <w:jc w:val="left"/>
            </w:pPr>
            <w:r>
              <w:t xml:space="preserve">For each experiment separately, a significant result in the expected direction would be interpreted as metacognitive asymmetry for the specific stimulus feature. Across all experiments, a series of significant results in the expected direction would be interpreted as supporting a common underlying mechanism for search and metacognitive asymmetries.</w:t>
            </w:r>
            <w:r>
              <w:t xml:space="preserve"> </w:t>
            </w:r>
            <m:oMath>
              <m:r>
                <m:t>B</m:t>
              </m:r>
              <m:sSub>
                <m:e>
                  <m:r>
                    <m:t>F</m:t>
                  </m:r>
                </m:e>
                <m:sub>
                  <m:r>
                    <m:t>0</m:t>
                  </m:r>
                  <m:r>
                    <m:t>,</m:t>
                  </m:r>
                  <m:r>
                    <m:t>1</m:t>
                  </m:r>
                </m:sub>
              </m:sSub>
              <m:r>
                <m:t>≥</m:t>
              </m:r>
              <m:r>
                <m:t>10</m:t>
              </m:r>
            </m:oMath>
            <w:r>
              <w:t xml:space="preserve"> </w:t>
            </w:r>
            <w:r>
              <w:t xml:space="preserve">would be interpreted as indicating indistinguishable metacognitive sensitivity for the two stimulus types.</w:t>
            </w:r>
          </w:p>
        </w:tc>
      </w:tr>
      <w:tr>
        <w:tc>
          <w:p>
            <w:pPr>
              <w:pStyle w:val="Compact"/>
              <w:jc w:val="left"/>
            </w:pPr>
            <w:r>
              <w:t xml:space="preserve">Is there a common source to metacognitive and search asymmetries?</w:t>
            </w:r>
          </w:p>
        </w:tc>
        <w:tc>
          <w:p>
            <w:pPr>
              <w:pStyle w:val="Compact"/>
              <w:jc w:val="left"/>
            </w:pPr>
            <w:r>
              <w:t xml:space="preserve">Individual differences in the direction and magnitude of search asymmetry positively covary with individual differences in the direction and magnitude of metacognitive asymmetry.</w:t>
            </w:r>
          </w:p>
        </w:tc>
        <w:tc>
          <w:p>
            <w:pPr>
              <w:pStyle w:val="Compact"/>
              <w:jc w:val="left"/>
            </w:pPr>
            <w:r>
              <w:t xml:space="preserve">320 included participants in each experiment</w:t>
            </w:r>
            <w:r>
              <w:t xml:space="preserve"> </w:t>
            </w:r>
            <m:oMath>
              <m:r>
                <m:t>×</m:t>
              </m:r>
            </m:oMath>
            <w:r>
              <w:t xml:space="preserve"> </w:t>
            </w:r>
            <w:r>
              <w:t xml:space="preserve">6 experiments. We will have 95% power to detect a correlation of 0.2 at the single experiment level, and a correlation of 0.08 pooled across all six experiments.</w:t>
            </w:r>
          </w:p>
        </w:tc>
        <w:tc>
          <w:p>
            <w:pPr>
              <w:pStyle w:val="Compact"/>
              <w:jc w:val="left"/>
            </w:pPr>
            <w:r>
              <w:t xml:space="preserve">Pearson correlation between</w:t>
            </w:r>
            <w:r>
              <w:t xml:space="preserve"> </w:t>
            </w:r>
            <m:oMath>
              <m:sSubSup>
                <m:e>
                  <m:r>
                    <m:t>Δ</m:t>
                  </m:r>
                </m:e>
                <m:sub>
                  <m:r>
                    <m:t>m</m:t>
                  </m:r>
                </m:sub>
                <m:sup>
                  <m:r>
                    <m:t>r</m:t>
                  </m:r>
                  <m:r>
                    <m:t>e</m:t>
                  </m:r>
                  <m:r>
                    <m:t>l</m:t>
                  </m:r>
                </m:sup>
              </m:sSubSup>
            </m:oMath>
            <w:r>
              <w:t xml:space="preserve"> </w:t>
            </w:r>
            <w:r>
              <w:t xml:space="preserve">and</w:t>
            </w:r>
            <w:r>
              <w:t xml:space="preserve"> </w:t>
            </w:r>
            <m:oMath>
              <m:sSubSup>
                <m:e>
                  <m:r>
                    <m:t>Δ</m:t>
                  </m:r>
                </m:e>
                <m:sub>
                  <m:r>
                    <m:t>s</m:t>
                  </m:r>
                </m:sub>
                <m:sup>
                  <m:r>
                    <m:t>r</m:t>
                  </m:r>
                  <m:r>
                    <m:t>e</m:t>
                  </m:r>
                  <m:r>
                    <m:t>l</m:t>
                  </m:r>
                </m:sup>
              </m:sSubSup>
            </m:oMath>
            <w:r>
              <w:t xml:space="preserve"> </w:t>
            </w:r>
            <w:r>
              <w:t xml:space="preserve">at the single experiment level, and pooled across all six experiments after regressing out the effect of experiment on both measures. IF p&gt;0.05, a compute Bayes factor with a shifted, scaled beta distribution (a=3, b=3).</w:t>
            </w:r>
          </w:p>
        </w:tc>
        <w:tc>
          <w:p>
            <w:pPr>
              <w:pStyle w:val="Compact"/>
              <w:jc w:val="left"/>
            </w:pPr>
            <w:r>
              <w:t xml:space="preserve">For each experiment separately, a significant correlation would be interpreted as a common cause for the two asymmetries for the particular stimulus pair. Pooled across all six experiments, a significant correlation would be interpreted as reflecting a common cause for search and metacognitive asymmetries generally.</w:t>
            </w:r>
            <w:r>
              <w:t xml:space="preserve"> </w:t>
            </w:r>
            <m:oMath>
              <m:r>
                <m:t>B</m:t>
              </m:r>
              <m:sSub>
                <m:e>
                  <m:r>
                    <m:t>F</m:t>
                  </m:r>
                </m:e>
                <m:sub>
                  <m:r>
                    <m:t>0</m:t>
                  </m:r>
                  <m:r>
                    <m:t>,</m:t>
                  </m:r>
                  <m:r>
                    <m:t>1</m:t>
                  </m:r>
                </m:sub>
              </m:sSub>
              <m:r>
                <m:t>≥</m:t>
              </m:r>
              <m:r>
                <m:t>10</m:t>
              </m:r>
            </m:oMath>
            <w:r>
              <w:t xml:space="preserve"> </w:t>
            </w:r>
            <w:r>
              <w:t xml:space="preserve">would be interpreted as evidence against a common mechanism underlying the two asymmetries.</w:t>
            </w:r>
          </w:p>
        </w:tc>
      </w:tr>
      <w:tr>
        <w:tc>
          <w:p>
            <w:pPr>
              <w:pStyle w:val="Compact"/>
              <w:jc w:val="left"/>
            </w:pPr>
            <w:r>
              <w:t xml:space="preserve">Is there a common source to search asymmetries at the feature and stimulus levels?</w:t>
            </w:r>
          </w:p>
        </w:tc>
        <w:tc>
          <w:p>
            <w:pPr>
              <w:pStyle w:val="Compact"/>
              <w:jc w:val="left"/>
            </w:pPr>
            <w:r>
              <w:t xml:space="preserve">Individual differences in the direction and magnitude of search asymmetry for the two stimulus assignments positively covary with individual differences in the direction and magnitude of the relative difference in search slope for</w:t>
            </w:r>
            <w:r>
              <w:t xml:space="preserve"> </w:t>
            </w:r>
            <w:r>
              <w:t xml:space="preserve">‘</w:t>
            </w:r>
            <w:r>
              <w:t xml:space="preserve">target absent</w:t>
            </w:r>
            <w:r>
              <w:t xml:space="preserve">’</w:t>
            </w:r>
            <w:r>
              <w:t xml:space="preserve"> </w:t>
            </w:r>
            <w:r>
              <w:t xml:space="preserve">and</w:t>
            </w:r>
            <w:r>
              <w:t xml:space="preserve"> </w:t>
            </w:r>
            <w:r>
              <w:t xml:space="preserve">‘</w:t>
            </w:r>
            <w:r>
              <w:t xml:space="preserve">target absent</w:t>
            </w:r>
            <w:r>
              <w:t xml:space="preserve">’</w:t>
            </w:r>
            <w:r>
              <w:t xml:space="preserve"> </w:t>
            </w:r>
            <w:r>
              <w:t xml:space="preserve">responses.</w:t>
            </w:r>
          </w:p>
        </w:tc>
        <w:tc>
          <w:p>
            <w:pPr>
              <w:pStyle w:val="Compact"/>
              <w:jc w:val="left"/>
            </w:pPr>
            <w:r>
              <w:t xml:space="preserve">320 included participants in each experiment</w:t>
            </w:r>
            <w:r>
              <w:t xml:space="preserve"> </w:t>
            </w:r>
            <m:oMath>
              <m:r>
                <m:t>×</m:t>
              </m:r>
            </m:oMath>
            <w:r>
              <w:t xml:space="preserve"> </w:t>
            </w:r>
            <w:r>
              <w:t xml:space="preserve">6 experiments. We will have 95% power to detect a correlation of 0.2 at the single experiment level, and a correlation of 0.08 pooled across all six experiments.</w:t>
            </w:r>
          </w:p>
        </w:tc>
        <w:tc>
          <w:p>
            <w:pPr>
              <w:pStyle w:val="Compact"/>
              <w:jc w:val="left"/>
            </w:pPr>
            <w:r>
              <w:t xml:space="preserve">Pearson correlation between</w:t>
            </w:r>
            <w:r>
              <w:t xml:space="preserve"> </w:t>
            </w:r>
            <m:oMath>
              <m:sSubSup>
                <m:e>
                  <m:r>
                    <m:t>Δ</m:t>
                  </m:r>
                </m:e>
                <m:sub>
                  <m:r>
                    <m:t>m</m:t>
                  </m:r>
                </m:sub>
                <m:sup>
                  <m:r>
                    <m:t>r</m:t>
                  </m:r>
                  <m:r>
                    <m:t>e</m:t>
                  </m:r>
                  <m:r>
                    <m:t>l</m:t>
                  </m:r>
                </m:sup>
              </m:sSubSup>
            </m:oMath>
            <w:r>
              <w:t xml:space="preserve"> </w:t>
            </w:r>
            <w:r>
              <w:t xml:space="preserve">and</w:t>
            </w:r>
            <w:r>
              <w:t xml:space="preserve"> </w:t>
            </w:r>
            <m:oMath>
              <m:sSubSup>
                <m:e>
                  <m:r>
                    <m:t>Δ</m:t>
                  </m:r>
                </m:e>
                <m:sub>
                  <m:r>
                    <m:t>s</m:t>
                  </m:r>
                </m:sub>
                <m:sup>
                  <m:r>
                    <m:t>r</m:t>
                  </m:r>
                  <m:r>
                    <m:t>e</m:t>
                  </m:r>
                  <m:r>
                    <m:t>l</m:t>
                  </m:r>
                </m:sup>
              </m:sSubSup>
            </m:oMath>
            <w:r>
              <w:t xml:space="preserve"> </w:t>
            </w:r>
            <w:r>
              <w:t xml:space="preserve">at the single experiment level, and pooled across all six experiments after regressing out the effect of experiment on both measures. IF p&gt;0.05, a compute Bayes factor with a shifted, scaled beta distribution (a=3, b=3).</w:t>
            </w:r>
          </w:p>
        </w:tc>
        <w:tc>
          <w:p>
            <w:pPr>
              <w:pStyle w:val="Compact"/>
              <w:jc w:val="left"/>
            </w:pPr>
            <w:r>
              <w:t xml:space="preserve">For each experiment separately, a significant correlation would be interpreted as a common cause for the two asymmetries for the particular stimulus pair. Pooled across all six experiments, a significant correlation would be interpreted as reflecting a common cause for feature-level and stimulus-level search asymmetries generally.</w:t>
            </w:r>
            <w:r>
              <w:t xml:space="preserve"> </w:t>
            </w:r>
            <m:oMath>
              <m:r>
                <m:t>B</m:t>
              </m:r>
              <m:sSub>
                <m:e>
                  <m:r>
                    <m:t>F</m:t>
                  </m:r>
                </m:e>
                <m:sub>
                  <m:r>
                    <m:t>0</m:t>
                  </m:r>
                  <m:r>
                    <m:t>,</m:t>
                  </m:r>
                  <m:r>
                    <m:t>1</m:t>
                  </m:r>
                </m:sub>
              </m:sSub>
              <m:r>
                <m:t>≥</m:t>
              </m:r>
              <m:r>
                <m:t>10</m:t>
              </m:r>
            </m:oMath>
            <w:r>
              <w:t xml:space="preserve"> </w:t>
            </w:r>
            <w:r>
              <w:t xml:space="preserve">would be interpreted as evidence against a common mechanism underlying the two asymmetries.</w:t>
            </w:r>
          </w:p>
        </w:tc>
      </w:tr>
    </w:tbl>
    <w:p>
      <w:r>
        <w:br w:type="page"/>
      </w:r>
    </w:p>
    <w:p>
      <w:pPr>
        <w:pStyle w:val="berschrift1"/>
      </w:pPr>
      <w:bookmarkStart w:id="42" w:name="references"/>
      <w:r>
        <w:t xml:space="preserve">References</w:t>
      </w:r>
      <w:bookmarkEnd w:id="42"/>
    </w:p>
    <w:bookmarkStart w:id="91" w:name="refs"/>
    <w:bookmarkStart w:id="44" w:name="ref-R-papaja"/>
    <w:p>
      <w:pPr>
        <w:pStyle w:val="Literaturverzeichnis"/>
        <w:pStyle w:val="Literaturverzeichnis"/>
      </w:pPr>
      <w:r>
        <w:t xml:space="preserve">Aust, F., &amp; Barth, M. (2020).</w:t>
      </w:r>
      <w:r>
        <w:t xml:space="preserve"> </w:t>
      </w:r>
      <w:r>
        <w:rPr>
          <w:i/>
        </w:rPr>
        <w:t xml:space="preserve">papaja: Create APA manuscripts with R Markdown</w:t>
      </w:r>
      <w:r>
        <w:t xml:space="preserve">. Retrieved from</w:t>
      </w:r>
      <w:r>
        <w:t xml:space="preserve"> </w:t>
      </w:r>
      <w:hyperlink r:id="rId43">
        <w:r>
          <w:rPr>
            <w:rStyle w:val="Hyperlink"/>
          </w:rPr>
          <w:t xml:space="preserve">https://github.com/crsh/papaja</w:t>
        </w:r>
      </w:hyperlink>
    </w:p>
    <w:bookmarkEnd w:id="44"/>
    <w:bookmarkStart w:id="46" w:name="ref-R-brms_b"/>
    <w:p>
      <w:pPr>
        <w:pStyle w:val="Literaturverzeichnis"/>
        <w:pStyle w:val="Literaturverzeichnis"/>
      </w:pPr>
      <w:r>
        <w:t xml:space="preserve">Bürkner, P.-C. (2018). Advanced Bayesian multilevel modeling with the R package brms.</w:t>
      </w:r>
      <w:r>
        <w:t xml:space="preserve"> </w:t>
      </w:r>
      <w:r>
        <w:rPr>
          <w:i/>
        </w:rPr>
        <w:t xml:space="preserve">The R Journal</w:t>
      </w:r>
      <w:r>
        <w:t xml:space="preserve">,</w:t>
      </w:r>
      <w:r>
        <w:t xml:space="preserve"> </w:t>
      </w:r>
      <w:r>
        <w:rPr>
          <w:i/>
        </w:rPr>
        <w:t xml:space="preserve">10</w:t>
      </w:r>
      <w:r>
        <w:t xml:space="preserve">(1), 395–411.</w:t>
      </w:r>
      <w:r>
        <w:t xml:space="preserve"> </w:t>
      </w:r>
      <w:hyperlink r:id="rId45">
        <w:r>
          <w:rPr>
            <w:rStyle w:val="Hyperlink"/>
          </w:rPr>
          <w:t xml:space="preserve">https://doi.org/10.32614/RJ-2018-017</w:t>
        </w:r>
      </w:hyperlink>
    </w:p>
    <w:bookmarkEnd w:id="46"/>
    <w:bookmarkStart w:id="48" w:name="ref-R-pwr"/>
    <w:p>
      <w:pPr>
        <w:pStyle w:val="Literaturverzeichnis"/>
        <w:pStyle w:val="Literaturverzeichnis"/>
      </w:pPr>
      <w:r>
        <w:t xml:space="preserve">Champely, S. (2020).</w:t>
      </w:r>
      <w:r>
        <w:t xml:space="preserve"> </w:t>
      </w:r>
      <w:r>
        <w:rPr>
          <w:i/>
        </w:rPr>
        <w:t xml:space="preserve">Pwr: Basic functions for power analysis</w:t>
      </w:r>
      <w:r>
        <w:t xml:space="preserve">. Retrieved from</w:t>
      </w:r>
      <w:r>
        <w:t xml:space="preserve"> </w:t>
      </w:r>
      <w:hyperlink r:id="rId47">
        <w:r>
          <w:rPr>
            <w:rStyle w:val="Hyperlink"/>
          </w:rPr>
          <w:t xml:space="preserve">https://CRAN.R-project.org/package=pwr</w:t>
        </w:r>
      </w:hyperlink>
    </w:p>
    <w:bookmarkEnd w:id="48"/>
    <w:bookmarkStart w:id="49" w:name="ref-coldren2000asymmetries"/>
    <w:p>
      <w:pPr>
        <w:pStyle w:val="Literaturverzeichnis"/>
        <w:pStyle w:val="Literaturverzeichnis"/>
      </w:pPr>
      <w:r>
        <w:t xml:space="preserve">Coldren, J. T., &amp; Haaf, R. A. (2000). Asymmetries in infants’ attention to the presence or absence of features.</w:t>
      </w:r>
      <w:r>
        <w:t xml:space="preserve"> </w:t>
      </w:r>
      <w:r>
        <w:rPr>
          <w:i/>
        </w:rPr>
        <w:t xml:space="preserve">The Journal of Genetic Psychology</w:t>
      </w:r>
      <w:r>
        <w:t xml:space="preserve">,</w:t>
      </w:r>
      <w:r>
        <w:t xml:space="preserve"> </w:t>
      </w:r>
      <w:r>
        <w:rPr>
          <w:i/>
        </w:rPr>
        <w:t xml:space="preserve">161</w:t>
      </w:r>
      <w:r>
        <w:t xml:space="preserve">(4), 420–434.</w:t>
      </w:r>
    </w:p>
    <w:bookmarkEnd w:id="49"/>
    <w:bookmarkStart w:id="50" w:name="ref-de1988knowing"/>
    <w:p>
      <w:pPr>
        <w:pStyle w:val="Literaturverzeichnis"/>
        <w:pStyle w:val="Literaturverzeichnis"/>
      </w:pPr>
      <w:r>
        <w:t xml:space="preserve">De Cornulier, B. (1988). Knowing whether, knowing who, and epistemic closure.</w:t>
      </w:r>
      <w:r>
        <w:t xml:space="preserve"> </w:t>
      </w:r>
      <w:r>
        <w:rPr>
          <w:i/>
        </w:rPr>
        <w:t xml:space="preserve">Questions and Questioning</w:t>
      </w:r>
      <w:r>
        <w:t xml:space="preserve">, 182–192.</w:t>
      </w:r>
    </w:p>
    <w:bookmarkEnd w:id="50"/>
    <w:bookmarkStart w:id="51" w:name="ref-de2015jspsych"/>
    <w:p>
      <w:pPr>
        <w:pStyle w:val="Literaturverzeichnis"/>
        <w:pStyle w:val="Literaturverzeichnis"/>
      </w:pPr>
      <w:r>
        <w:t xml:space="preserve">De Leeuw, J. R. (2015). JsPsych: A javascript library for creating behavioral experiments in a web browser.</w:t>
      </w:r>
      <w:r>
        <w:t xml:space="preserve"> </w:t>
      </w:r>
      <w:r>
        <w:rPr>
          <w:i/>
        </w:rPr>
        <w:t xml:space="preserve">Behavior Research Methods</w:t>
      </w:r>
      <w:r>
        <w:t xml:space="preserve">,</w:t>
      </w:r>
      <w:r>
        <w:t xml:space="preserve"> </w:t>
      </w:r>
      <w:r>
        <w:rPr>
          <w:i/>
        </w:rPr>
        <w:t xml:space="preserve">47</w:t>
      </w:r>
      <w:r>
        <w:t xml:space="preserve">(1), 1–12.</w:t>
      </w:r>
    </w:p>
    <w:bookmarkEnd w:id="51"/>
    <w:bookmarkStart w:id="52" w:name="ref-dosher2004parallel"/>
    <w:p>
      <w:pPr>
        <w:pStyle w:val="Literaturverzeichnis"/>
        <w:pStyle w:val="Literaturverzeichnis"/>
      </w:pPr>
      <w:r>
        <w:t xml:space="preserve">Dosher, B. A., Han, S., &amp; Lu, Z.-L. (2004). Parallel processing in visual search asymmetry.</w:t>
      </w:r>
      <w:r>
        <w:t xml:space="preserve"> </w:t>
      </w:r>
      <w:r>
        <w:rPr>
          <w:i/>
        </w:rPr>
        <w:t xml:space="preserve">Journal of Experimental Psychology: Human Perception and Performance</w:t>
      </w:r>
      <w:r>
        <w:t xml:space="preserve">,</w:t>
      </w:r>
      <w:r>
        <w:t xml:space="preserve"> </w:t>
      </w:r>
      <w:r>
        <w:rPr>
          <w:i/>
        </w:rPr>
        <w:t xml:space="preserve">30</w:t>
      </w:r>
      <w:r>
        <w:t xml:space="preserve">(1), 3.</w:t>
      </w:r>
    </w:p>
    <w:bookmarkEnd w:id="52"/>
    <w:bookmarkStart w:id="53" w:name="ref-frith1974acurious"/>
    <w:p>
      <w:pPr>
        <w:pStyle w:val="Literaturverzeichnis"/>
        <w:pStyle w:val="Literaturverzeichnis"/>
      </w:pPr>
      <w:r>
        <w:t xml:space="preserve">Frith, U. (1974). Acurious effect with reversed letters explained by a theory of schema.</w:t>
      </w:r>
      <w:r>
        <w:t xml:space="preserve"> </w:t>
      </w:r>
      <w:r>
        <w:rPr>
          <w:i/>
        </w:rPr>
        <w:t xml:space="preserve">Perception &amp; Psychophysics</w:t>
      </w:r>
      <w:r>
        <w:t xml:space="preserve">,</w:t>
      </w:r>
      <w:r>
        <w:t xml:space="preserve"> </w:t>
      </w:r>
      <w:r>
        <w:rPr>
          <w:i/>
        </w:rPr>
        <w:t xml:space="preserve">16</w:t>
      </w:r>
      <w:r>
        <w:t xml:space="preserve">(1), 113–116.</w:t>
      </w:r>
    </w:p>
    <w:bookmarkEnd w:id="53"/>
    <w:bookmarkStart w:id="54" w:name="ref-hearst1991psychology"/>
    <w:p>
      <w:pPr>
        <w:pStyle w:val="Literaturverzeichnis"/>
        <w:pStyle w:val="Literaturverzeichnis"/>
      </w:pPr>
      <w:r>
        <w:t xml:space="preserve">Hearst, E. (1991). Psychology and nothing.</w:t>
      </w:r>
      <w:r>
        <w:t xml:space="preserve"> </w:t>
      </w:r>
      <w:r>
        <w:rPr>
          <w:i/>
        </w:rPr>
        <w:t xml:space="preserve">American Scientist</w:t>
      </w:r>
      <w:r>
        <w:t xml:space="preserve">,</w:t>
      </w:r>
      <w:r>
        <w:t xml:space="preserve"> </w:t>
      </w:r>
      <w:r>
        <w:rPr>
          <w:i/>
        </w:rPr>
        <w:t xml:space="preserve">79</w:t>
      </w:r>
      <w:r>
        <w:t xml:space="preserve">(5), 432–443.</w:t>
      </w:r>
    </w:p>
    <w:bookmarkEnd w:id="54"/>
    <w:bookmarkStart w:id="55" w:name="ref-kanai2010subjective"/>
    <w:p>
      <w:pPr>
        <w:pStyle w:val="Literaturverzeichnis"/>
        <w:pStyle w:val="Literaturverzeichnis"/>
      </w:pPr>
      <w:r>
        <w:t xml:space="preserve">Kanai, R., Walsh, V., &amp; Tseng, C.-h. (2010). Subjective discriminability of invisibility: A framework for distinguishing perceptual and attentional failures of awareness.</w:t>
      </w:r>
      <w:r>
        <w:t xml:space="preserve"> </w:t>
      </w:r>
      <w:r>
        <w:rPr>
          <w:i/>
        </w:rPr>
        <w:t xml:space="preserve">Consciousness and Cognition</w:t>
      </w:r>
      <w:r>
        <w:t xml:space="preserve">,</w:t>
      </w:r>
      <w:r>
        <w:t xml:space="preserve"> </w:t>
      </w:r>
      <w:r>
        <w:rPr>
          <w:i/>
        </w:rPr>
        <w:t xml:space="preserve">19</w:t>
      </w:r>
      <w:r>
        <w:t xml:space="preserve">(4), 1045–1057.</w:t>
      </w:r>
    </w:p>
    <w:bookmarkEnd w:id="55"/>
    <w:bookmarkStart w:id="56" w:name="ref-kellij2018foundations"/>
    <w:p>
      <w:pPr>
        <w:pStyle w:val="Literaturverzeichnis"/>
        <w:pStyle w:val="Literaturverzeichnis"/>
      </w:pPr>
      <w:r>
        <w:t xml:space="preserve">Kellij, S., Fahrenfort, J., Lau, H., Peters, M. A., &amp; Odegaard, B. (2018). The foundations of introspective access: How the relative precision of target encoding influences metacognitive performance.</w:t>
      </w:r>
    </w:p>
    <w:bookmarkEnd w:id="56"/>
    <w:bookmarkStart w:id="57" w:name="ref-lange2015just"/>
    <w:p>
      <w:pPr>
        <w:pStyle w:val="Literaturverzeichnis"/>
        <w:pStyle w:val="Literaturverzeichnis"/>
      </w:pPr>
      <w:r>
        <w:t xml:space="preserve">Lange, K., Kühn, S., &amp; Filevich, E. (2015). " Just another tool for online studies”(JATOS): An easy solution for setup and management of web servers supporting online studies.</w:t>
      </w:r>
      <w:r>
        <w:t xml:space="preserve"> </w:t>
      </w:r>
      <w:r>
        <w:rPr>
          <w:i/>
        </w:rPr>
        <w:t xml:space="preserve">PloS One</w:t>
      </w:r>
      <w:r>
        <w:t xml:space="preserve">,</w:t>
      </w:r>
      <w:r>
        <w:t xml:space="preserve"> </w:t>
      </w:r>
      <w:r>
        <w:rPr>
          <w:i/>
        </w:rPr>
        <w:t xml:space="preserve">10</w:t>
      </w:r>
      <w:r>
        <w:t xml:space="preserve">(6), e0130834.</w:t>
      </w:r>
    </w:p>
    <w:bookmarkEnd w:id="57"/>
    <w:bookmarkStart w:id="58" w:name="ref-levitt1971transformed"/>
    <w:p>
      <w:pPr>
        <w:pStyle w:val="Literaturverzeichnis"/>
        <w:pStyle w:val="Literaturverzeichnis"/>
      </w:pPr>
      <w:r>
        <w:t xml:space="preserve">Levitt, H. (1971). Transformed up-down methods in psychoacoustics.</w:t>
      </w:r>
      <w:r>
        <w:t xml:space="preserve"> </w:t>
      </w:r>
      <w:r>
        <w:rPr>
          <w:i/>
        </w:rPr>
        <w:t xml:space="preserve">The Journal of the Acoustical Society of America</w:t>
      </w:r>
      <w:r>
        <w:t xml:space="preserve">,</w:t>
      </w:r>
      <w:r>
        <w:t xml:space="preserve"> </w:t>
      </w:r>
      <w:r>
        <w:rPr>
          <w:i/>
        </w:rPr>
        <w:t xml:space="preserve">49</w:t>
      </w:r>
      <w:r>
        <w:t xml:space="preserve">(2B), 467–477.</w:t>
      </w:r>
    </w:p>
    <w:bookmarkEnd w:id="58"/>
    <w:bookmarkStart w:id="59" w:name="ref-mazor2020distinct"/>
    <w:p>
      <w:pPr>
        <w:pStyle w:val="Literaturverzeichnis"/>
        <w:pStyle w:val="Literaturverzeichnis"/>
      </w:pPr>
      <w:r>
        <w:t xml:space="preserve">Mazor, M., Friston, K. J., &amp; Fleming, S. M. (2020). Distinct neural contributions to metacognition for detecting, but not discriminating visual stimuli.</w:t>
      </w:r>
      <w:r>
        <w:t xml:space="preserve"> </w:t>
      </w:r>
      <w:r>
        <w:rPr>
          <w:i/>
        </w:rPr>
        <w:t xml:space="preserve">Elife</w:t>
      </w:r>
      <w:r>
        <w:t xml:space="preserve">,</w:t>
      </w:r>
      <w:r>
        <w:t xml:space="preserve"> </w:t>
      </w:r>
      <w:r>
        <w:rPr>
          <w:i/>
        </w:rPr>
        <w:t xml:space="preserve">9</w:t>
      </w:r>
      <w:r>
        <w:t xml:space="preserve">, e53900.</w:t>
      </w:r>
    </w:p>
    <w:bookmarkEnd w:id="59"/>
    <w:bookmarkStart w:id="60" w:name="ref-mazor2019novel"/>
    <w:p>
      <w:pPr>
        <w:pStyle w:val="Literaturverzeichnis"/>
        <w:pStyle w:val="Literaturverzeichnis"/>
      </w:pPr>
      <w:r>
        <w:t xml:space="preserve">Mazor, M., Mazor, N., &amp; Mukamel, R. (2019). A novel tool for time-locking study plans to results.</w:t>
      </w:r>
      <w:r>
        <w:t xml:space="preserve"> </w:t>
      </w:r>
      <w:r>
        <w:rPr>
          <w:i/>
        </w:rPr>
        <w:t xml:space="preserve">European Journal of Neuroscience</w:t>
      </w:r>
      <w:r>
        <w:t xml:space="preserve">,</w:t>
      </w:r>
      <w:r>
        <w:t xml:space="preserve"> </w:t>
      </w:r>
      <w:r>
        <w:rPr>
          <w:i/>
        </w:rPr>
        <w:t xml:space="preserve">49</w:t>
      </w:r>
      <w:r>
        <w:t xml:space="preserve">(9), 1149–1156.</w:t>
      </w:r>
    </w:p>
    <w:bookmarkEnd w:id="60"/>
    <w:bookmarkStart w:id="61" w:name="ref-mccarthy2015p5"/>
    <w:p>
      <w:pPr>
        <w:pStyle w:val="Literaturverzeichnis"/>
        <w:pStyle w:val="Literaturverzeichnis"/>
      </w:pPr>
      <w:r>
        <w:t xml:space="preserve">McCarthy, L. (2015). P5. Js.</w:t>
      </w:r>
      <w:r>
        <w:t xml:space="preserve"> </w:t>
      </w:r>
      <w:r>
        <w:rPr>
          <w:i/>
        </w:rPr>
        <w:t xml:space="preserve">URL: Https://P5js. Org</w:t>
      </w:r>
      <w:r>
        <w:t xml:space="preserve">,</w:t>
      </w:r>
      <w:r>
        <w:t xml:space="preserve"> </w:t>
      </w:r>
      <w:r>
        <w:rPr>
          <w:i/>
        </w:rPr>
        <w:t xml:space="preserve">3</w:t>
      </w:r>
      <w:r>
        <w:t xml:space="preserve">.</w:t>
      </w:r>
    </w:p>
    <w:bookmarkEnd w:id="61"/>
    <w:bookmarkStart w:id="62" w:name="ref-meuwese2014subjective"/>
    <w:p>
      <w:pPr>
        <w:pStyle w:val="Literaturverzeichnis"/>
        <w:pStyle w:val="Literaturverzeichnis"/>
      </w:pPr>
      <w:r>
        <w:t xml:space="preserve">Meuwese, J. D., Loon, A. M. van, Lamme, V. A., &amp; Fahrenfort, J. J. (2014). The subjective experience of object recognition: Comparing metacognition for object detection and object categorization.</w:t>
      </w:r>
      <w:r>
        <w:t xml:space="preserve"> </w:t>
      </w:r>
      <w:r>
        <w:rPr>
          <w:i/>
        </w:rPr>
        <w:t xml:space="preserve">Attention, Perception, &amp; Psychophysics</w:t>
      </w:r>
      <w:r>
        <w:t xml:space="preserve">,</w:t>
      </w:r>
      <w:r>
        <w:t xml:space="preserve"> </w:t>
      </w:r>
      <w:r>
        <w:rPr>
          <w:i/>
        </w:rPr>
        <w:t xml:space="preserve">76</w:t>
      </w:r>
      <w:r>
        <w:t xml:space="preserve">(4), 1057–1068.</w:t>
      </w:r>
    </w:p>
    <w:bookmarkEnd w:id="62"/>
    <w:bookmarkStart w:id="64" w:name="ref-R-BayesFactor"/>
    <w:p>
      <w:pPr>
        <w:pStyle w:val="Literaturverzeichnis"/>
        <w:pStyle w:val="Literaturverzeichnis"/>
      </w:pPr>
      <w:r>
        <w:t xml:space="preserve">Morey, R. D., &amp; Rouder, J. N. (2018).</w:t>
      </w:r>
      <w:r>
        <w:t xml:space="preserve"> </w:t>
      </w:r>
      <w:r>
        <w:rPr>
          <w:i/>
        </w:rPr>
        <w:t xml:space="preserve">BayesFactor: Computation of bayes factors for common designs</w:t>
      </w:r>
      <w:r>
        <w:t xml:space="preserve">. Retrieved from</w:t>
      </w:r>
      <w:r>
        <w:t xml:space="preserve"> </w:t>
      </w:r>
      <w:hyperlink r:id="rId63">
        <w:r>
          <w:rPr>
            <w:rStyle w:val="Hyperlink"/>
          </w:rPr>
          <w:t xml:space="preserve">https://CRAN.R-project.org/package=BayesFactor</w:t>
        </w:r>
      </w:hyperlink>
    </w:p>
    <w:bookmarkEnd w:id="64"/>
    <w:bookmarkStart w:id="65" w:name="ref-morey2015package"/>
    <w:p>
      <w:pPr>
        <w:pStyle w:val="Literaturverzeichnis"/>
        <w:pStyle w:val="Literaturverzeichnis"/>
      </w:pPr>
      <w:r>
        <w:t xml:space="preserve">Morey, R. D., Rouder, J. N., Jamil, T., &amp; Morey, M. R. D. (2015). Package “bayesfactor”.</w:t>
      </w:r>
      <w:r>
        <w:t xml:space="preserve"> </w:t>
      </w:r>
      <w:r>
        <w:rPr>
          <w:i/>
        </w:rPr>
        <w:t xml:space="preserve">URLh Http://Cran/R-Projectorg/Web/Packages/BayesFactor/BayesFactor Pdf I (Accessed 1006 15)</w:t>
      </w:r>
      <w:r>
        <w:t xml:space="preserve">.</w:t>
      </w:r>
    </w:p>
    <w:bookmarkEnd w:id="65"/>
    <w:bookmarkStart w:id="66" w:name="ref-newman1980feature"/>
    <w:p>
      <w:pPr>
        <w:pStyle w:val="Literaturverzeichnis"/>
        <w:pStyle w:val="Literaturverzeichnis"/>
      </w:pPr>
      <w:r>
        <w:t xml:space="preserve">Newman, J. P., Wolff, W. T., &amp; Hearst, E. (1980). The feature-positive effect in adult human subjects.</w:t>
      </w:r>
      <w:r>
        <w:t xml:space="preserve"> </w:t>
      </w:r>
      <w:r>
        <w:rPr>
          <w:i/>
        </w:rPr>
        <w:t xml:space="preserve">Journal of Experimental Psychology: Human Learning and Memory</w:t>
      </w:r>
      <w:r>
        <w:t xml:space="preserve">,</w:t>
      </w:r>
      <w:r>
        <w:t xml:space="preserve"> </w:t>
      </w:r>
      <w:r>
        <w:rPr>
          <w:i/>
        </w:rPr>
        <w:t xml:space="preserve">6</w:t>
      </w:r>
      <w:r>
        <w:t xml:space="preserve">(5), 630.</w:t>
      </w:r>
    </w:p>
    <w:bookmarkEnd w:id="66"/>
    <w:bookmarkStart w:id="67" w:name="ref-oaksford2002contrast"/>
    <w:p>
      <w:pPr>
        <w:pStyle w:val="Literaturverzeichnis"/>
        <w:pStyle w:val="Literaturverzeichnis"/>
      </w:pPr>
      <w:r>
        <w:t xml:space="preserve">Oaksford, M. (2002). Contrast classes and matching bias as explanations of the effects of negation on conditional reasoning.</w:t>
      </w:r>
      <w:r>
        <w:t xml:space="preserve"> </w:t>
      </w:r>
      <w:r>
        <w:rPr>
          <w:i/>
        </w:rPr>
        <w:t xml:space="preserve">Thinking &amp; Reasoning</w:t>
      </w:r>
      <w:r>
        <w:t xml:space="preserve">,</w:t>
      </w:r>
      <w:r>
        <w:t xml:space="preserve"> </w:t>
      </w:r>
      <w:r>
        <w:rPr>
          <w:i/>
        </w:rPr>
        <w:t xml:space="preserve">8</w:t>
      </w:r>
      <w:r>
        <w:t xml:space="preserve">(2), 135–151.</w:t>
      </w:r>
    </w:p>
    <w:bookmarkEnd w:id="67"/>
    <w:bookmarkStart w:id="68" w:name="ref-oaksford2001probabilistic"/>
    <w:p>
      <w:pPr>
        <w:pStyle w:val="Literaturverzeichnis"/>
        <w:pStyle w:val="Literaturverzeichnis"/>
      </w:pPr>
      <w:r>
        <w:t xml:space="preserve">Oaksford, M., &amp; Chater, N. (2001). The probabilistic approach to human reasoning.</w:t>
      </w:r>
      <w:r>
        <w:t xml:space="preserve"> </w:t>
      </w:r>
      <w:r>
        <w:rPr>
          <w:i/>
        </w:rPr>
        <w:t xml:space="preserve">Trends in Cognitive Sciences</w:t>
      </w:r>
      <w:r>
        <w:t xml:space="preserve">,</w:t>
      </w:r>
      <w:r>
        <w:t xml:space="preserve"> </w:t>
      </w:r>
      <w:r>
        <w:rPr>
          <w:i/>
        </w:rPr>
        <w:t xml:space="preserve">5</w:t>
      </w:r>
      <w:r>
        <w:t xml:space="preserve">(8), 349–357.</w:t>
      </w:r>
    </w:p>
    <w:bookmarkEnd w:id="68"/>
    <w:bookmarkStart w:id="70" w:name="ref-R-base"/>
    <w:p>
      <w:pPr>
        <w:pStyle w:val="Literaturverzeichnis"/>
        <w:pStyle w:val="Literaturverzeichnis"/>
      </w:pPr>
      <w:r>
        <w:t xml:space="preserve">R Core Team. (2019).</w:t>
      </w:r>
      <w:r>
        <w:t xml:space="preserve"> </w:t>
      </w:r>
      <w:r>
        <w:rPr>
          <w:i/>
        </w:rPr>
        <w:t xml:space="preserve">R: A language and environment for statistical computing</w:t>
      </w:r>
      <w:r>
        <w:t xml:space="preserve">. Vienna, Austria: R Foundation for Statistical Computing. Retrieved from</w:t>
      </w:r>
      <w:r>
        <w:t xml:space="preserve"> </w:t>
      </w:r>
      <w:hyperlink r:id="rId69">
        <w:r>
          <w:rPr>
            <w:rStyle w:val="Hyperlink"/>
          </w:rPr>
          <w:t xml:space="preserve">https://www.R-project.org/</w:t>
        </w:r>
      </w:hyperlink>
    </w:p>
    <w:bookmarkEnd w:id="70"/>
    <w:bookmarkStart w:id="72" w:name="ref-R-broom"/>
    <w:p>
      <w:pPr>
        <w:pStyle w:val="Literaturverzeichnis"/>
        <w:pStyle w:val="Literaturverzeichnis"/>
      </w:pPr>
      <w:r>
        <w:t xml:space="preserve">Robinson, D., &amp; Hayes, A. (2020).</w:t>
      </w:r>
      <w:r>
        <w:t xml:space="preserve"> </w:t>
      </w:r>
      <w:r>
        <w:rPr>
          <w:i/>
        </w:rPr>
        <w:t xml:space="preserve">Broom: Convert statistical analysis objects into tidy tibbles</w:t>
      </w:r>
      <w:r>
        <w:t xml:space="preserve">. Retrieved from</w:t>
      </w:r>
      <w:r>
        <w:t xml:space="preserve"> </w:t>
      </w:r>
      <w:hyperlink r:id="rId71">
        <w:r>
          <w:rPr>
            <w:rStyle w:val="Hyperlink"/>
          </w:rPr>
          <w:t xml:space="preserve">https://CRAN.R-project.org/package=broom</w:t>
        </w:r>
      </w:hyperlink>
    </w:p>
    <w:bookmarkEnd w:id="72"/>
    <w:bookmarkStart w:id="73" w:name="ref-sainsbury1971feature"/>
    <w:p>
      <w:pPr>
        <w:pStyle w:val="Literaturverzeichnis"/>
        <w:pStyle w:val="Literaturverzeichnis"/>
      </w:pPr>
      <w:r>
        <w:t xml:space="preserve">Sainsbury, R. (1971). The “feature positive effect” and simultaneous discrimination learning.</w:t>
      </w:r>
      <w:r>
        <w:t xml:space="preserve"> </w:t>
      </w:r>
      <w:r>
        <w:rPr>
          <w:i/>
        </w:rPr>
        <w:t xml:space="preserve">Journal of Experimental Child Psychology</w:t>
      </w:r>
      <w:r>
        <w:t xml:space="preserve">,</w:t>
      </w:r>
      <w:r>
        <w:t xml:space="preserve"> </w:t>
      </w:r>
      <w:r>
        <w:rPr>
          <w:i/>
        </w:rPr>
        <w:t xml:space="preserve">11</w:t>
      </w:r>
      <w:r>
        <w:t xml:space="preserve">(3), 347–356.</w:t>
      </w:r>
    </w:p>
    <w:bookmarkEnd w:id="73"/>
    <w:bookmarkStart w:id="74" w:name="ref-takeda2000inhibitory"/>
    <w:p>
      <w:pPr>
        <w:pStyle w:val="Literaturverzeichnis"/>
        <w:pStyle w:val="Literaturverzeichnis"/>
      </w:pPr>
      <w:r>
        <w:t xml:space="preserve">Takeda, Y., &amp; Yagi, A. (2000). Inhibitory tagging in visual search can be found if search stimuli remain visible.</w:t>
      </w:r>
      <w:r>
        <w:t xml:space="preserve"> </w:t>
      </w:r>
      <w:r>
        <w:rPr>
          <w:i/>
        </w:rPr>
        <w:t xml:space="preserve">Perception &amp; Psychophysics</w:t>
      </w:r>
      <w:r>
        <w:t xml:space="preserve">,</w:t>
      </w:r>
      <w:r>
        <w:t xml:space="preserve"> </w:t>
      </w:r>
      <w:r>
        <w:rPr>
          <w:i/>
        </w:rPr>
        <w:t xml:space="preserve">62</w:t>
      </w:r>
      <w:r>
        <w:t xml:space="preserve">(5), 927–934.</w:t>
      </w:r>
    </w:p>
    <w:bookmarkEnd w:id="74"/>
    <w:bookmarkStart w:id="75" w:name="ref-treisman1988feature"/>
    <w:p>
      <w:pPr>
        <w:pStyle w:val="Literaturverzeichnis"/>
        <w:pStyle w:val="Literaturverzeichnis"/>
      </w:pPr>
      <w:r>
        <w:t xml:space="preserve">Treisman, A., &amp; Gormican, S. (1988). Feature analysis in early vision: Evidence from search asymmetries.</w:t>
      </w:r>
      <w:r>
        <w:t xml:space="preserve"> </w:t>
      </w:r>
      <w:r>
        <w:rPr>
          <w:i/>
        </w:rPr>
        <w:t xml:space="preserve">Psychological Review</w:t>
      </w:r>
      <w:r>
        <w:t xml:space="preserve">,</w:t>
      </w:r>
      <w:r>
        <w:t xml:space="preserve"> </w:t>
      </w:r>
      <w:r>
        <w:rPr>
          <w:i/>
        </w:rPr>
        <w:t xml:space="preserve">95</w:t>
      </w:r>
      <w:r>
        <w:t xml:space="preserve">(1), 15.</w:t>
      </w:r>
    </w:p>
    <w:bookmarkEnd w:id="75"/>
    <w:bookmarkStart w:id="76" w:name="ref-treisman1985search"/>
    <w:p>
      <w:pPr>
        <w:pStyle w:val="Literaturverzeichnis"/>
        <w:pStyle w:val="Literaturverzeichnis"/>
      </w:pPr>
      <w:r>
        <w:t xml:space="preserve">Treisman, A., &amp; Souther, J. (1985). Search asymmetry: A diagnostic for preattentive processing of separable features.</w:t>
      </w:r>
      <w:r>
        <w:t xml:space="preserve"> </w:t>
      </w:r>
      <w:r>
        <w:rPr>
          <w:i/>
        </w:rPr>
        <w:t xml:space="preserve">Journal of Experimental Psychology: General</w:t>
      </w:r>
      <w:r>
        <w:t xml:space="preserve">,</w:t>
      </w:r>
      <w:r>
        <w:t xml:space="preserve"> </w:t>
      </w:r>
      <w:r>
        <w:rPr>
          <w:i/>
        </w:rPr>
        <w:t xml:space="preserve">114</w:t>
      </w:r>
      <w:r>
        <w:t xml:space="preserve">(3), 285.</w:t>
      </w:r>
    </w:p>
    <w:bookmarkEnd w:id="76"/>
    <w:bookmarkStart w:id="77" w:name="ref-vincent2011search"/>
    <w:p>
      <w:pPr>
        <w:pStyle w:val="Literaturverzeichnis"/>
        <w:pStyle w:val="Literaturverzeichnis"/>
      </w:pPr>
      <w:r>
        <w:t xml:space="preserve">Vincent, B. T. (2011). Search asymmetries: Parallel processing of uncertain sensory information.</w:t>
      </w:r>
      <w:r>
        <w:t xml:space="preserve"> </w:t>
      </w:r>
      <w:r>
        <w:rPr>
          <w:i/>
        </w:rPr>
        <w:t xml:space="preserve">Vision Research</w:t>
      </w:r>
      <w:r>
        <w:t xml:space="preserve">,</w:t>
      </w:r>
      <w:r>
        <w:t xml:space="preserve"> </w:t>
      </w:r>
      <w:r>
        <w:rPr>
          <w:i/>
        </w:rPr>
        <w:t xml:space="preserve">51</w:t>
      </w:r>
      <w:r>
        <w:t xml:space="preserve">(15), 1741–1750.</w:t>
      </w:r>
    </w:p>
    <w:bookmarkEnd w:id="77"/>
    <w:bookmarkStart w:id="78" w:name="ref-von1994visual"/>
    <w:p>
      <w:pPr>
        <w:pStyle w:val="Literaturverzeichnis"/>
        <w:pStyle w:val="Literaturverzeichnis"/>
      </w:pPr>
      <w:r>
        <w:t xml:space="preserve">Von Grünau, M., &amp; Dubé, S. (1994). Visual search asymmetry for viewing direction.</w:t>
      </w:r>
      <w:r>
        <w:t xml:space="preserve"> </w:t>
      </w:r>
      <w:r>
        <w:rPr>
          <w:i/>
        </w:rPr>
        <w:t xml:space="preserve">Perception &amp; Psychophysics</w:t>
      </w:r>
      <w:r>
        <w:t xml:space="preserve">,</w:t>
      </w:r>
      <w:r>
        <w:t xml:space="preserve"> </w:t>
      </w:r>
      <w:r>
        <w:rPr>
          <w:i/>
        </w:rPr>
        <w:t xml:space="preserve">56</w:t>
      </w:r>
      <w:r>
        <w:t xml:space="preserve">(2), 211–220.</w:t>
      </w:r>
    </w:p>
    <w:bookmarkEnd w:id="78"/>
    <w:bookmarkStart w:id="79" w:name="ref-walton1992nonfallacious"/>
    <w:p>
      <w:pPr>
        <w:pStyle w:val="Literaturverzeichnis"/>
        <w:pStyle w:val="Literaturverzeichnis"/>
      </w:pPr>
      <w:r>
        <w:t xml:space="preserve">Walton, D. (1992). Nonfallacious arguments from ignorance.</w:t>
      </w:r>
      <w:r>
        <w:t xml:space="preserve"> </w:t>
      </w:r>
      <w:r>
        <w:rPr>
          <w:i/>
        </w:rPr>
        <w:t xml:space="preserve">American Philosophical Quarterly</w:t>
      </w:r>
      <w:r>
        <w:t xml:space="preserve">,</w:t>
      </w:r>
      <w:r>
        <w:t xml:space="preserve"> </w:t>
      </w:r>
      <w:r>
        <w:rPr>
          <w:i/>
        </w:rPr>
        <w:t xml:space="preserve">29</w:t>
      </w:r>
      <w:r>
        <w:t xml:space="preserve">(4), 381–387.</w:t>
      </w:r>
    </w:p>
    <w:bookmarkEnd w:id="79"/>
    <w:bookmarkStart w:id="80" w:name="ref-wang1994familiarity"/>
    <w:p>
      <w:pPr>
        <w:pStyle w:val="Literaturverzeichnis"/>
        <w:pStyle w:val="Literaturverzeichnis"/>
      </w:pPr>
      <w:r>
        <w:t xml:space="preserve">Wang, Q., Cavanagh, P., &amp; Green, M. (1994). Familiarity and pop-out in visual search.</w:t>
      </w:r>
      <w:r>
        <w:t xml:space="preserve"> </w:t>
      </w:r>
      <w:r>
        <w:rPr>
          <w:i/>
        </w:rPr>
        <w:t xml:space="preserve">Perception &amp; Psychophysics</w:t>
      </w:r>
      <w:r>
        <w:t xml:space="preserve">,</w:t>
      </w:r>
      <w:r>
        <w:t xml:space="preserve"> </w:t>
      </w:r>
      <w:r>
        <w:rPr>
          <w:i/>
        </w:rPr>
        <w:t xml:space="preserve">56</w:t>
      </w:r>
      <w:r>
        <w:t xml:space="preserve">(5), 495–500.</w:t>
      </w:r>
    </w:p>
    <w:bookmarkEnd w:id="80"/>
    <w:bookmarkStart w:id="82" w:name="ref-R-ggplot2"/>
    <w:p>
      <w:pPr>
        <w:pStyle w:val="Literaturverzeichnis"/>
        <w:pStyle w:val="Literaturverzeichnis"/>
      </w:pPr>
      <w:r>
        <w:t xml:space="preserve">Wickham, H. (2016).</w:t>
      </w:r>
      <w:r>
        <w:t xml:space="preserve"> </w:t>
      </w:r>
      <w:r>
        <w:rPr>
          <w:i/>
        </w:rPr>
        <w:t xml:space="preserve">Ggplot2: Elegant graphics for data analysis</w:t>
      </w:r>
      <w:r>
        <w:t xml:space="preserve">. Springer-Verlag New York. Retrieved from</w:t>
      </w:r>
      <w:r>
        <w:t xml:space="preserve"> </w:t>
      </w:r>
      <w:hyperlink r:id="rId81">
        <w:r>
          <w:rPr>
            <w:rStyle w:val="Hyperlink"/>
          </w:rPr>
          <w:t xml:space="preserve">https://ggplot2.tidyverse.org</w:t>
        </w:r>
      </w:hyperlink>
    </w:p>
    <w:bookmarkEnd w:id="82"/>
    <w:bookmarkStart w:id="84" w:name="ref-R-dplyr"/>
    <w:p>
      <w:pPr>
        <w:pStyle w:val="Literaturverzeichnis"/>
        <w:pStyle w:val="Literaturverzeichnis"/>
      </w:pPr>
      <w:r>
        <w:t xml:space="preserve">Wickham, H., François, R., Henry, L., &amp; Müller, K. (2020).</w:t>
      </w:r>
      <w:r>
        <w:t xml:space="preserve"> </w:t>
      </w:r>
      <w:r>
        <w:rPr>
          <w:i/>
        </w:rPr>
        <w:t xml:space="preserve">Dplyr: A grammar of data manipulation</w:t>
      </w:r>
      <w:r>
        <w:t xml:space="preserve">. Retrieved from</w:t>
      </w:r>
      <w:r>
        <w:t xml:space="preserve"> </w:t>
      </w:r>
      <w:hyperlink r:id="rId83">
        <w:r>
          <w:rPr>
            <w:rStyle w:val="Hyperlink"/>
          </w:rPr>
          <w:t xml:space="preserve">https://CRAN.R-project.org/package=dplyr</w:t>
        </w:r>
      </w:hyperlink>
    </w:p>
    <w:bookmarkEnd w:id="84"/>
    <w:bookmarkStart w:id="86" w:name="ref-R-tidyr"/>
    <w:p>
      <w:pPr>
        <w:pStyle w:val="Literaturverzeichnis"/>
        <w:pStyle w:val="Literaturverzeichnis"/>
      </w:pPr>
      <w:r>
        <w:t xml:space="preserve">Wickham, H., &amp; Henry, L. (2020).</w:t>
      </w:r>
      <w:r>
        <w:t xml:space="preserve"> </w:t>
      </w:r>
      <w:r>
        <w:rPr>
          <w:i/>
        </w:rPr>
        <w:t xml:space="preserve">Tidyr: Tidy messy data</w:t>
      </w:r>
      <w:r>
        <w:t xml:space="preserve">. Retrieved from</w:t>
      </w:r>
      <w:r>
        <w:t xml:space="preserve"> </w:t>
      </w:r>
      <w:hyperlink r:id="rId85">
        <w:r>
          <w:rPr>
            <w:rStyle w:val="Hyperlink"/>
          </w:rPr>
          <w:t xml:space="preserve">https://CRAN.R-project.org/package=tidyr</w:t>
        </w:r>
      </w:hyperlink>
    </w:p>
    <w:bookmarkEnd w:id="86"/>
    <w:bookmarkStart w:id="88" w:name="ref-R-cowplot"/>
    <w:p>
      <w:pPr>
        <w:pStyle w:val="Literaturverzeichnis"/>
        <w:pStyle w:val="Literaturverzeichnis"/>
      </w:pPr>
      <w:r>
        <w:t xml:space="preserve">Wilke, C. O. (2019).</w:t>
      </w:r>
      <w:r>
        <w:t xml:space="preserve"> </w:t>
      </w:r>
      <w:r>
        <w:rPr>
          <w:i/>
        </w:rPr>
        <w:t xml:space="preserve">Cowplot: Streamlined plot theme and plot annotations for ’ggplot2’</w:t>
      </w:r>
      <w:r>
        <w:t xml:space="preserve">. Retrieved from</w:t>
      </w:r>
      <w:r>
        <w:t xml:space="preserve"> </w:t>
      </w:r>
      <w:hyperlink r:id="rId87">
        <w:r>
          <w:rPr>
            <w:rStyle w:val="Hyperlink"/>
          </w:rPr>
          <w:t xml:space="preserve">https://CRAN.R-project.org/package=cowplot</w:t>
        </w:r>
      </w:hyperlink>
    </w:p>
    <w:bookmarkEnd w:id="88"/>
    <w:bookmarkStart w:id="89" w:name="ref-wolfe1998can"/>
    <w:p>
      <w:pPr>
        <w:pStyle w:val="Literaturverzeichnis"/>
        <w:pStyle w:val="Literaturverzeichnis"/>
      </w:pPr>
      <w:r>
        <w:t xml:space="preserve">Wolfe, J. M. (1998). What can 1 million trials tell us about visual search?</w:t>
      </w:r>
      <w:r>
        <w:t xml:space="preserve"> </w:t>
      </w:r>
      <w:r>
        <w:rPr>
          <w:i/>
        </w:rPr>
        <w:t xml:space="preserve">Psychological Science</w:t>
      </w:r>
      <w:r>
        <w:t xml:space="preserve">,</w:t>
      </w:r>
      <w:r>
        <w:t xml:space="preserve"> </w:t>
      </w:r>
      <w:r>
        <w:rPr>
          <w:i/>
        </w:rPr>
        <w:t xml:space="preserve">9</w:t>
      </w:r>
      <w:r>
        <w:t xml:space="preserve">(1), 33–39.</w:t>
      </w:r>
    </w:p>
    <w:bookmarkEnd w:id="89"/>
    <w:bookmarkStart w:id="90" w:name="ref-wolfe2001asymmetries"/>
    <w:p>
      <w:pPr>
        <w:pStyle w:val="Literaturverzeichnis"/>
        <w:pStyle w:val="Literaturverzeichnis"/>
      </w:pPr>
      <w:r>
        <w:t xml:space="preserve">Wolfe, J. M. (2001). Asymmetries in visual search: An introduction.</w:t>
      </w:r>
      <w:r>
        <w:t xml:space="preserve"> </w:t>
      </w:r>
      <w:r>
        <w:rPr>
          <w:i/>
        </w:rPr>
        <w:t xml:space="preserve">Perception &amp; Psychophysics</w:t>
      </w:r>
      <w:r>
        <w:t xml:space="preserve">,</w:t>
      </w:r>
      <w:r>
        <w:t xml:space="preserve"> </w:t>
      </w:r>
      <w:r>
        <w:rPr>
          <w:i/>
        </w:rPr>
        <w:t xml:space="preserve">63</w:t>
      </w:r>
      <w:r>
        <w:t xml:space="preserve">(3), 381–389.</w:t>
      </w:r>
    </w:p>
    <w:bookmarkEnd w:id="90"/>
    <w:bookmarkEnd w:id="91"/>
    <w:p>
      <w:r>
        <w:br w:type="page"/>
      </w:r>
    </w:p>
    <w:p>
      <w:pPr>
        <w:pStyle w:val="berschrift1"/>
      </w:pPr>
      <w:bookmarkStart w:id="92" w:name="supplementary-information"/>
      <w:r>
        <w:t xml:space="preserve">Supplementary information</w:t>
      </w:r>
      <w:bookmarkEnd w:id="92"/>
    </w:p>
    <w:p>
      <w:pPr>
        <w:pStyle w:val="berschrift1"/>
      </w:pPr>
      <w:bookmarkStart w:id="93" w:name="pilot-data-and-analysis"/>
      <w:r>
        <w:t xml:space="preserve">Pilot data and analysis</w:t>
      </w:r>
      <w:bookmarkEnd w:id="93"/>
    </w:p>
    <w:p>
      <w:pPr>
        <w:pStyle w:val="berschrift2"/>
      </w:pPr>
      <w:bookmarkStart w:id="94" w:name="pilot-experiment"/>
      <w:r>
        <w:t xml:space="preserve">Pilot Experiment</w:t>
      </w:r>
      <w:bookmarkEnd w:id="94"/>
    </w:p>
    <w:p>
      <w:pPr>
        <w:pStyle w:val="FirstParagraph"/>
      </w:pPr>
      <w:r>
        <w:t xml:space="preserve">30 participants were recruited from Prolific for our pilot experiment. We followed the procedure described in the Methods section, using</w:t>
      </w:r>
      <w:r>
        <w:t xml:space="preserve"> </w:t>
      </w:r>
      <w:r>
        <w:rPr>
          <w:i/>
        </w:rPr>
        <w:t xml:space="preserve">Q</w:t>
      </w:r>
      <w:r>
        <w:t xml:space="preserve"> </w:t>
      </w:r>
      <w:r>
        <w:t xml:space="preserve">and</w:t>
      </w:r>
      <w:r>
        <w:t xml:space="preserve"> </w:t>
      </w:r>
      <w:r>
        <w:rPr>
          <w:i/>
        </w:rPr>
        <w:t xml:space="preserve">O</w:t>
      </w:r>
      <w:r>
        <w:t xml:space="preserve"> </w:t>
      </w:r>
      <w:r>
        <w:t xml:space="preserve">as our stimuli. The experiment took about 10 minutes to complete. Subjects were paid £1.25 for their participation.</w:t>
      </w:r>
    </w:p>
    <w:p>
      <w:pPr>
        <w:pStyle w:val="Textkrper"/>
      </w:pPr>
      <w:r>
        <w:t xml:space="preserve">Mean accuracy was 0.80 in the discrimination task, 0.96 in the Q-in-O search task, and 0.95 in the O-in-Q search task. We excluded participants for performing below 70% accuracy in one or two of the search tasks, for performing below 60% accuracy in the discrimination task, for having extremely fast or slow reaction times in one or more of the tasks (below 250 milliseconds or above 5 seconds in more than 25% of the trials), and for failing the comprehension check. Overall we excluded 0 participants, leaving 30 participants for the main analysis.</w:t>
      </w:r>
    </w:p>
    <w:p>
      <w:pPr>
        <w:pStyle w:val="berschrift2"/>
      </w:pPr>
      <w:bookmarkStart w:id="95" w:name="visual-search-task-search-asymmetry"/>
      <w:r>
        <w:t xml:space="preserve">Visual search task: search asymmetry</w:t>
      </w:r>
      <w:bookmarkEnd w:id="95"/>
    </w:p>
    <w:p>
      <w:pPr>
        <w:pStyle w:val="FirstParagraph"/>
      </w:pPr>
      <w:r>
        <w:t xml:space="preserve">Search time analysis was performed on correct trials with reaction time between 250 and 5000 milliseconds. Search slopes for the response time/set size function were extracted for each participant, task and response, and then subjected to a two-way analysis of variance. As expected, we observed significant effects for target identity (mean search slope for</w:t>
      </w:r>
      <w:r>
        <w:t xml:space="preserve"> </w:t>
      </w:r>
      <w:r>
        <w:rPr>
          <w:i/>
        </w:rPr>
        <w:t xml:space="preserve">Q-in-O</w:t>
      </w:r>
      <w:r>
        <w:t xml:space="preserve"> </w:t>
      </w:r>
      <w:r>
        <w:t xml:space="preserve">search: 18.93 ms/item; mean search slope for</w:t>
      </w:r>
      <w:r>
        <w:t xml:space="preserve"> </w:t>
      </w:r>
      <w:r>
        <w:rPr>
          <w:i/>
        </w:rPr>
        <w:t xml:space="preserve">O-in-Q</w:t>
      </w:r>
      <w:r>
        <w:t xml:space="preserve"> </w:t>
      </w:r>
      <w:r>
        <w:t xml:space="preserve">search: 54.89 ms/item;</w:t>
      </w:r>
      <w:r>
        <w:t xml:space="preserve"> </w:t>
      </w:r>
      <m:oMath>
        <m:r>
          <m:t>F</m:t>
        </m:r>
        <m:r>
          <m:t>(</m:t>
        </m:r>
        <m:r>
          <m:t>1</m:t>
        </m:r>
        <m:r>
          <m:t>,</m:t>
        </m:r>
        <m:r>
          <m:t>116</m:t>
        </m:r>
        <m:r>
          <m:t>)</m:t>
        </m:r>
        <m:r>
          <m:t>=</m:t>
        </m:r>
        <m:r>
          <m:t>44.39</m:t>
        </m:r>
      </m:oMath>
      <w:r>
        <w:t xml:space="preserve">,</w:t>
      </w:r>
      <w:r>
        <w:t xml:space="preserve"> </w:t>
      </w:r>
      <m:oMath>
        <m:r>
          <m:rPr>
            <m:sty m:val="i"/>
          </m:rPr>
          <m:t>M</m:t>
        </m:r>
        <m:r>
          <m:rPr>
            <m:sty m:val="i"/>
          </m:rPr>
          <m:t>S</m:t>
        </m:r>
        <m:r>
          <m:rPr>
            <m:sty m:val="i"/>
          </m:rPr>
          <m:t>E</m:t>
        </m:r>
        <m:r>
          <m:t>=</m:t>
        </m:r>
        <m:r>
          <m:t>873.80</m:t>
        </m:r>
      </m:oMath>
      <w:r>
        <w:t xml:space="preserve">,</w:t>
      </w:r>
      <w:r>
        <w:t xml:space="preserve"> </w:t>
      </w:r>
      <m:oMath>
        <m:r>
          <m:t>p</m:t>
        </m:r>
        <m:r>
          <m:t>&lt;</m:t>
        </m:r>
        <m:r>
          <m:t>.001</m:t>
        </m:r>
      </m:oMath>
      <w:r>
        <w:t xml:space="preserve">) and response (mean search slope for target absent responses: 48.04; mean search slope for target present responses: 25.78;</w:t>
      </w:r>
      <w:r>
        <w:t xml:space="preserve"> </w:t>
      </w:r>
      <m:oMath>
        <m:r>
          <m:t>F</m:t>
        </m:r>
        <m:r>
          <m:t>(</m:t>
        </m:r>
        <m:r>
          <m:t>1</m:t>
        </m:r>
        <m:r>
          <m:t>,</m:t>
        </m:r>
        <m:r>
          <m:t>116</m:t>
        </m:r>
        <m:r>
          <m:t>)</m:t>
        </m:r>
        <m:r>
          <m:t>=</m:t>
        </m:r>
        <m:r>
          <m:t>17.01</m:t>
        </m:r>
      </m:oMath>
      <w:r>
        <w:t xml:space="preserve">,</w:t>
      </w:r>
      <w:r>
        <w:t xml:space="preserve"> </w:t>
      </w:r>
      <m:oMath>
        <m:r>
          <m:rPr>
            <m:sty m:val="i"/>
          </m:rPr>
          <m:t>M</m:t>
        </m:r>
        <m:r>
          <m:rPr>
            <m:sty m:val="i"/>
          </m:rPr>
          <m:t>S</m:t>
        </m:r>
        <m:r>
          <m:rPr>
            <m:sty m:val="i"/>
          </m:rPr>
          <m:t>E</m:t>
        </m:r>
        <m:r>
          <m:t>=</m:t>
        </m:r>
        <m:r>
          <m:t>873.80</m:t>
        </m:r>
      </m:oMath>
      <w:r>
        <w:t xml:space="preserve">,</w:t>
      </w:r>
      <w:r>
        <w:t xml:space="preserve"> </w:t>
      </w:r>
      <m:oMath>
        <m:r>
          <m:t>p</m:t>
        </m:r>
        <m:r>
          <m:t>&lt;</m:t>
        </m:r>
        <m:r>
          <m:t>.001</m:t>
        </m:r>
      </m:oMath>
      <w:r>
        <w:t xml:space="preserve">; see Figure</w:t>
      </w:r>
      <w:r>
        <w:t xml:space="preserve"> </w:t>
      </w:r>
      <w:r>
        <w:t xml:space="preserve">). An interaction effect was also significant (</w:t>
      </w:r>
      <m:oMath>
        <m:r>
          <m:t>F</m:t>
        </m:r>
        <m:r>
          <m:t>(</m:t>
        </m:r>
        <m:r>
          <m:t>1</m:t>
        </m:r>
        <m:r>
          <m:t>,</m:t>
        </m:r>
        <m:r>
          <m:t>116</m:t>
        </m:r>
        <m:r>
          <m:t>)</m:t>
        </m:r>
        <m:r>
          <m:t>=</m:t>
        </m:r>
        <m:r>
          <m:t>8.91</m:t>
        </m:r>
      </m:oMath>
      <w:r>
        <w:t xml:space="preserve">,</w:t>
      </w:r>
      <w:r>
        <w:t xml:space="preserve"> </w:t>
      </w:r>
      <m:oMath>
        <m:r>
          <m:rPr>
            <m:sty m:val="i"/>
          </m:rPr>
          <m:t>M</m:t>
        </m:r>
        <m:r>
          <m:rPr>
            <m:sty m:val="i"/>
          </m:rPr>
          <m:t>S</m:t>
        </m:r>
        <m:r>
          <m:rPr>
            <m:sty m:val="i"/>
          </m:rPr>
          <m:t>E</m:t>
        </m:r>
        <m:r>
          <m:t>=</m:t>
        </m:r>
        <m:r>
          <m:t>873.80</m:t>
        </m:r>
      </m:oMath>
      <w:r>
        <w:t xml:space="preserve">,</w:t>
      </w:r>
      <w:r>
        <w:t xml:space="preserve"> </w:t>
      </w:r>
      <m:oMath>
        <m:r>
          <m:t>p</m:t>
        </m:r>
        <m:r>
          <m:t>=</m:t>
        </m:r>
        <m:r>
          <m:t>.003</m:t>
        </m:r>
      </m:oMath>
      <w:r>
        <w:t xml:space="preserve">). These results match previous reports of steeper search slopes for searching a circle among circles crossed by a line than for the inverse search</w:t>
      </w:r>
      <w:r>
        <w:t xml:space="preserve"> </w:t>
      </w:r>
      <w:r>
        <w:t xml:space="preserve">(e.g., Treisman &amp; Souther, 1985)</w:t>
      </w:r>
      <w:r>
        <w:t xml:space="preserve">.</w:t>
      </w:r>
    </w:p>
    <w:p>
      <w:pPr>
        <w:pStyle w:val="Compact"/>
      </w:pPr>
      <w:r>
        <w:t xml:space="preserve">(#tab:search_analysis)</w:t>
      </w:r>
    </w:p>
    <w:p>
      <w:pPr>
        <w:pStyle w:val="Compact"/>
        <w:pStyle w:val="TableCaption"/>
      </w:pPr>
      <w: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t xml:space="preserve">Effect</w:t>
            </w:r>
          </w:p>
        </w:tc>
        <w:tc>
          <w:tcPr>
            <w:tcBorders>
              <w:bottom w:val="single"/>
            </w:tcBorders>
            <w:vAlign w:val="bottom"/>
          </w:tcPr>
          <w:p>
            <w:pPr>
              <w:pStyle w:val="Compact"/>
              <w:jc w:val="left"/>
            </w:pPr>
            <m:oMath>
              <m:r>
                <m:t>F</m:t>
              </m:r>
            </m:oMath>
          </w:p>
        </w:tc>
        <w:tc>
          <w:tcPr>
            <w:tcBorders>
              <w:bottom w:val="single"/>
            </w:tcBorders>
            <w:vAlign w:val="bottom"/>
          </w:tcPr>
          <w:p>
            <w:pPr>
              <w:pStyle w:val="Compact"/>
              <w:jc w:val="left"/>
            </w:pPr>
            <m:oMath>
              <m:sSub>
                <m:e>
                  <m:r>
                    <m:rPr>
                      <m:sty m:val="i"/>
                    </m:rPr>
                    <m:t>d</m:t>
                  </m:r>
                  <m:r>
                    <m:rPr>
                      <m:sty m:val="i"/>
                    </m:rPr>
                    <m:t>f</m:t>
                  </m:r>
                </m:e>
                <m:sub>
                  <m:r>
                    <m:t>1</m:t>
                  </m:r>
                </m:sub>
              </m:sSub>
            </m:oMath>
          </w:p>
        </w:tc>
        <w:tc>
          <w:tcPr>
            <w:tcBorders>
              <w:bottom w:val="single"/>
            </w:tcBorders>
            <w:vAlign w:val="bottom"/>
          </w:tcPr>
          <w:p>
            <w:pPr>
              <w:pStyle w:val="Compact"/>
              <w:jc w:val="left"/>
            </w:pPr>
            <m:oMath>
              <m:sSub>
                <m:e>
                  <m:r>
                    <m:rPr>
                      <m:sty m:val="i"/>
                    </m:rPr>
                    <m:t>d</m:t>
                  </m:r>
                  <m:r>
                    <m:rPr>
                      <m:sty m:val="i"/>
                    </m:rPr>
                    <m:t>f</m:t>
                  </m:r>
                </m:e>
                <m:sub>
                  <m:r>
                    <m:t>2</m:t>
                  </m:r>
                </m:sub>
              </m:sSub>
            </m:oMath>
          </w:p>
        </w:tc>
        <w:tc>
          <w:tcPr>
            <w:tcBorders>
              <w:bottom w:val="single"/>
            </w:tcBorders>
            <w:vAlign w:val="bottom"/>
          </w:tcPr>
          <w:p>
            <w:pPr>
              <w:pStyle w:val="Compact"/>
              <w:jc w:val="left"/>
            </w:pPr>
            <m:oMath>
              <m:r>
                <m:rPr>
                  <m:sty m:val="i"/>
                </m:rPr>
                <m:t>M</m:t>
              </m:r>
              <m:r>
                <m:rPr>
                  <m:sty m:val="i"/>
                </m:rPr>
                <m:t>S</m:t>
              </m:r>
              <m:r>
                <m:rPr>
                  <m:sty m:val="i"/>
                </m:rPr>
                <m:t>E</m:t>
              </m:r>
            </m:oMath>
          </w:p>
        </w:tc>
        <w:tc>
          <w:tcPr>
            <w:tcBorders>
              <w:bottom w:val="single"/>
            </w:tcBorders>
            <w:vAlign w:val="bottom"/>
          </w:tcPr>
          <w:p>
            <w:pPr>
              <w:pStyle w:val="Compact"/>
              <w:jc w:val="left"/>
            </w:pPr>
            <m:oMath>
              <m:r>
                <m:t>p</m:t>
              </m:r>
            </m:oMath>
          </w:p>
        </w:tc>
        <w:tc>
          <w:tcPr>
            <w:tcBorders>
              <w:bottom w:val="single"/>
            </w:tcBorders>
            <w:vAlign w:val="bottom"/>
          </w:tcPr>
          <w:p>
            <w:pPr>
              <w:pStyle w:val="Compact"/>
              <w:jc w:val="left"/>
            </w:pPr>
            <m:oMath>
              <m:sSubSup>
                <m:e>
                  <m:acc>
                    <m:accPr>
                      <m:chr m:val="̂"/>
                    </m:accPr>
                    <m:e>
                      <m:r>
                        <m:t>η</m:t>
                      </m:r>
                    </m:e>
                  </m:acc>
                </m:e>
                <m:sub>
                  <m:r>
                    <m:t>G</m:t>
                  </m:r>
                </m:sub>
                <m:sup>
                  <m:r>
                    <m:t>2</m:t>
                  </m:r>
                </m:sup>
              </m:sSubSup>
            </m:oMath>
          </w:p>
        </w:tc>
      </w:tr>
      <w:tr>
        <w:tc>
          <w:p>
            <w:pPr>
              <w:pStyle w:val="Compact"/>
              <w:jc w:val="left"/>
            </w:pPr>
            <w:r>
              <w:t xml:space="preserve">Target</w:t>
            </w:r>
          </w:p>
        </w:tc>
        <w:tc>
          <w:p>
            <w:pPr>
              <w:pStyle w:val="Compact"/>
              <w:jc w:val="left"/>
            </w:pPr>
            <w:r>
              <w:t xml:space="preserve">44.39</w:t>
            </w:r>
          </w:p>
        </w:tc>
        <w:tc>
          <w:p>
            <w:pPr>
              <w:pStyle w:val="Compact"/>
              <w:jc w:val="left"/>
            </w:pPr>
            <w:r>
              <w:t xml:space="preserve">1</w:t>
            </w:r>
          </w:p>
        </w:tc>
        <w:tc>
          <w:p>
            <w:pPr>
              <w:pStyle w:val="Compact"/>
              <w:jc w:val="left"/>
            </w:pPr>
            <w:r>
              <w:t xml:space="preserve">116</w:t>
            </w:r>
          </w:p>
        </w:tc>
        <w:tc>
          <w:p>
            <w:pPr>
              <w:pStyle w:val="Compact"/>
              <w:jc w:val="left"/>
            </w:pPr>
            <w:r>
              <w:t xml:space="preserve">873.80</w:t>
            </w:r>
          </w:p>
        </w:tc>
        <w:tc>
          <w:p>
            <w:pPr>
              <w:pStyle w:val="Compact"/>
              <w:jc w:val="left"/>
            </w:pPr>
            <w:r>
              <w:t xml:space="preserve">&lt; .001</w:t>
            </w:r>
          </w:p>
        </w:tc>
        <w:tc>
          <w:p>
            <w:pPr>
              <w:pStyle w:val="Compact"/>
              <w:jc w:val="left"/>
            </w:pPr>
            <w:r>
              <w:t xml:space="preserve">.277</w:t>
            </w:r>
          </w:p>
        </w:tc>
      </w:tr>
      <w:tr>
        <w:tc>
          <w:p>
            <w:pPr>
              <w:pStyle w:val="Compact"/>
              <w:jc w:val="left"/>
            </w:pPr>
            <w:r>
              <w:t xml:space="preserve">Response</w:t>
            </w:r>
          </w:p>
        </w:tc>
        <w:tc>
          <w:p>
            <w:pPr>
              <w:pStyle w:val="Compact"/>
              <w:jc w:val="left"/>
            </w:pPr>
            <w:r>
              <w:t xml:space="preserve">17.01</w:t>
            </w:r>
          </w:p>
        </w:tc>
        <w:tc>
          <w:p>
            <w:pPr>
              <w:pStyle w:val="Compact"/>
              <w:jc w:val="left"/>
            </w:pPr>
            <w:r>
              <w:t xml:space="preserve">1</w:t>
            </w:r>
          </w:p>
        </w:tc>
        <w:tc>
          <w:p>
            <w:pPr>
              <w:pStyle w:val="Compact"/>
              <w:jc w:val="left"/>
            </w:pPr>
            <w:r>
              <w:t xml:space="preserve">116</w:t>
            </w:r>
          </w:p>
        </w:tc>
        <w:tc>
          <w:p>
            <w:pPr>
              <w:pStyle w:val="Compact"/>
              <w:jc w:val="left"/>
            </w:pPr>
            <w:r>
              <w:t xml:space="preserve">873.80</w:t>
            </w:r>
          </w:p>
        </w:tc>
        <w:tc>
          <w:p>
            <w:pPr>
              <w:pStyle w:val="Compact"/>
              <w:jc w:val="left"/>
            </w:pPr>
            <w:r>
              <w:t xml:space="preserve">&lt; .001</w:t>
            </w:r>
          </w:p>
        </w:tc>
        <w:tc>
          <w:p>
            <w:pPr>
              <w:pStyle w:val="Compact"/>
              <w:jc w:val="left"/>
            </w:pPr>
            <w:r>
              <w:t xml:space="preserve">.128</w:t>
            </w:r>
          </w:p>
        </w:tc>
      </w:tr>
      <w:tr>
        <w:tc>
          <w:p>
            <w:pPr>
              <w:pStyle w:val="Compact"/>
              <w:jc w:val="left"/>
            </w:pPr>
            <w:r>
              <w:t xml:space="preserve">Target</w:t>
            </w:r>
            <w:r>
              <w:t xml:space="preserve"> </w:t>
            </w:r>
            <m:oMath>
              <m:r>
                <m:t>×</m:t>
              </m:r>
            </m:oMath>
            <w:r>
              <w:t xml:space="preserve"> </w:t>
            </w:r>
            <w:r>
              <w:t xml:space="preserve">Response</w:t>
            </w:r>
          </w:p>
        </w:tc>
        <w:tc>
          <w:p>
            <w:pPr>
              <w:pStyle w:val="Compact"/>
              <w:jc w:val="left"/>
            </w:pPr>
            <w:r>
              <w:t xml:space="preserve">8.91</w:t>
            </w:r>
          </w:p>
        </w:tc>
        <w:tc>
          <w:p>
            <w:pPr>
              <w:pStyle w:val="Compact"/>
              <w:jc w:val="left"/>
            </w:pPr>
            <w:r>
              <w:t xml:space="preserve">1</w:t>
            </w:r>
          </w:p>
        </w:tc>
        <w:tc>
          <w:p>
            <w:pPr>
              <w:pStyle w:val="Compact"/>
              <w:jc w:val="left"/>
            </w:pPr>
            <w:r>
              <w:t xml:space="preserve">116</w:t>
            </w:r>
          </w:p>
        </w:tc>
        <w:tc>
          <w:p>
            <w:pPr>
              <w:pStyle w:val="Compact"/>
              <w:jc w:val="left"/>
            </w:pPr>
            <w:r>
              <w:t xml:space="preserve">873.80</w:t>
            </w:r>
          </w:p>
        </w:tc>
        <w:tc>
          <w:p>
            <w:pPr>
              <w:pStyle w:val="Compact"/>
              <w:jc w:val="left"/>
            </w:pPr>
            <w:r>
              <w:t xml:space="preserve">.003</w:t>
            </w:r>
          </w:p>
        </w:tc>
        <w:tc>
          <w:p>
            <w:pPr>
              <w:pStyle w:val="Compact"/>
              <w:jc w:val="left"/>
            </w:pPr>
            <w:r>
              <w:t xml:space="preserve">.071</w:t>
            </w:r>
          </w:p>
        </w:tc>
      </w:tr>
    </w:tbl>
    <w:p>
      <w:pPr>
        <w:pStyle w:val="CaptionedFigure"/>
      </w:pPr>
      <w:r>
        <w:drawing>
          <wp:inline>
            <wp:extent cx="4587290" cy="3669832"/>
            <wp:effectExtent b="0" l="0" r="0" t="0"/>
            <wp:docPr descr="Figure 1:.  A: Median search time by distractor set size for the two search tasks and two responses. Correct responses only. Error bars represent the standard error of the median. B: mean search slope per target (Q or O) and response (present or absent). Error bars represent the standard error of the mean." title="" id="1" name="Picture"/>
            <a:graphic>
              <a:graphicData uri="http://schemas.openxmlformats.org/drawingml/2006/picture">
                <pic:pic>
                  <pic:nvPicPr>
                    <pic:cNvPr descr="asymmetry_files/figure-docx/RT-pilot-1.png" id="0" name="Picture"/>
                    <pic:cNvPicPr>
                      <a:picLocks noChangeArrowheads="1" noChangeAspect="1"/>
                    </pic:cNvPicPr>
                  </pic:nvPicPr>
                  <pic:blipFill>
                    <a:blip r:embed="rId96"/>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r>
        <w:rPr>
          <w:i/>
        </w:rPr>
        <w:t xml:space="preserve">Figure</w:t>
      </w:r>
      <w:r>
        <w:t xml:space="preserve"> </w:t>
      </w:r>
      <w:r>
        <w:rPr>
          <w:i/>
        </w:rPr>
        <w:t xml:space="preserve">1:</w:t>
      </w:r>
      <w:r>
        <w:t xml:space="preserve">.  A: Median search time by distractor set size for the two search tasks and two responses. Correct responses only. Error bars represent the standard error of the median. B: mean search slope per target (Q or O) and response (present or absent). Error bars represent the standard error of the mean.</w:t>
      </w:r>
    </w:p>
    <w:p>
      <w:pPr>
        <w:pStyle w:val="berschrift2"/>
      </w:pPr>
      <w:bookmarkStart w:id="97" w:name="Xd519d9a14d874bacdd469fa80e7b416668ee75e"/>
      <w:r>
        <w:t xml:space="preserve">Discrimination task: metacognitive asymmetry</w:t>
      </w:r>
      <w:bookmarkEnd w:id="97"/>
    </w:p>
    <w:p>
      <w:pPr>
        <w:pStyle w:val="FirstParagraph"/>
      </w:pPr>
      <w:r>
        <w:t xml:space="preserve">Mean accuracy in the discrimination task was 0.81 (</w:t>
      </w:r>
      <m:oMath>
        <m:r>
          <m:t>M</m:t>
        </m:r>
        <m:r>
          <m:t>=</m:t>
        </m:r>
        <m:r>
          <m:t>0.81</m:t>
        </m:r>
      </m:oMath>
      <w:r>
        <w:t xml:space="preserve">, 95% CI</w:t>
      </w:r>
      <w:r>
        <w:t xml:space="preserve"> </w:t>
      </w:r>
      <m:oMath>
        <m:r>
          <m:t>[</m:t>
        </m:r>
        <m:r>
          <m:t>0.77</m:t>
        </m:r>
      </m:oMath>
      <w:r>
        <w:t xml:space="preserve">,</w:t>
      </w:r>
      <w:r>
        <w:t xml:space="preserve"> </w:t>
      </w:r>
      <m:oMath>
        <m:r>
          <m:t>0.84</m:t>
        </m:r>
        <m:r>
          <m:t>]</m:t>
        </m:r>
      </m:oMath>
      <w:r>
        <w:t xml:space="preserve">). Participants showed no consistent bias in their responses (</w:t>
      </w:r>
      <m:oMath>
        <m:r>
          <m:t>M</m:t>
        </m:r>
        <m:r>
          <m:t>=</m:t>
        </m:r>
        <m:r>
          <m:t>0.53</m:t>
        </m:r>
      </m:oMath>
      <w:r>
        <w:t xml:space="preserve">, 95% CI</w:t>
      </w:r>
      <w:r>
        <w:t xml:space="preserve"> </w:t>
      </w:r>
      <m:oMath>
        <m:r>
          <m:t>[</m:t>
        </m:r>
        <m:r>
          <m:t>0.48</m:t>
        </m:r>
      </m:oMath>
      <w:r>
        <w:t xml:space="preserve">,</w:t>
      </w:r>
      <w:r>
        <w:t xml:space="preserve"> </w:t>
      </w:r>
      <m:oMath>
        <m:r>
          <m:t>0.57</m:t>
        </m:r>
        <m:r>
          <m:t>]</m:t>
        </m:r>
      </m:oMath>
      <w:r>
        <w:t xml:space="preserve">). On a scale of 0 to 1, mean confidence level was 0.56 (</w:t>
      </w:r>
      <m:oMath>
        <m:r>
          <m:t>M</m:t>
        </m:r>
        <m:r>
          <m:t>=</m:t>
        </m:r>
        <m:r>
          <m:t>0.56</m:t>
        </m:r>
      </m:oMath>
      <w:r>
        <w:t xml:space="preserve">, 95% CI</w:t>
      </w:r>
      <w:r>
        <w:t xml:space="preserve"> </w:t>
      </w:r>
      <m:oMath>
        <m:r>
          <m:t>[</m:t>
        </m:r>
        <m:r>
          <m:t>0.47</m:t>
        </m:r>
      </m:oMath>
      <w:r>
        <w:t xml:space="preserve">,</w:t>
      </w:r>
      <w:r>
        <w:t xml:space="preserve"> </w:t>
      </w:r>
      <m:oMath>
        <m:r>
          <m:t>0.64</m:t>
        </m:r>
        <m:r>
          <m:t>]</m:t>
        </m:r>
      </m:oMath>
      <w:r>
        <w:t xml:space="preserve">). Confidence was higher for correct than for incorrect responses (</w:t>
      </w:r>
      <m:oMath>
        <m:sSub>
          <m:e>
            <m:r>
              <m:t>M</m:t>
            </m:r>
          </m:e>
          <m:sub>
            <m:r>
              <m:t>d</m:t>
            </m:r>
          </m:sub>
        </m:sSub>
        <m:r>
          <m:t>=</m:t>
        </m:r>
        <m:r>
          <m:t>0.15</m:t>
        </m:r>
      </m:oMath>
      <w:r>
        <w:t xml:space="preserve">, 95% CI</w:t>
      </w:r>
      <w:r>
        <w:t xml:space="preserve"> </w:t>
      </w:r>
      <m:oMath>
        <m:r>
          <m:t>[</m:t>
        </m:r>
        <m:r>
          <m:t>0.09</m:t>
        </m:r>
      </m:oMath>
      <w:r>
        <w:t xml:space="preserve">,</w:t>
      </w:r>
      <w:r>
        <w:t xml:space="preserve"> </w:t>
      </w:r>
      <m:oMath>
        <m:r>
          <m:t>0.21</m:t>
        </m:r>
        <m:r>
          <m:t>]</m:t>
        </m:r>
      </m:oMath>
      <w:r>
        <w:t xml:space="preserve">,</w:t>
      </w:r>
      <w:r>
        <w:t xml:space="preserve"> </w:t>
      </w:r>
      <m:oMath>
        <m:r>
          <m:t>t</m:t>
        </m:r>
        <m:r>
          <m:t>(</m:t>
        </m:r>
        <m:r>
          <m:t>29</m:t>
        </m:r>
        <m:r>
          <m:t>)</m:t>
        </m:r>
        <m:r>
          <m:t>=</m:t>
        </m:r>
        <m:r>
          <m:t>5.24</m:t>
        </m:r>
      </m:oMath>
      <w:r>
        <w:t xml:space="preserve">,</w:t>
      </w:r>
      <w:r>
        <w:t xml:space="preserve"> </w:t>
      </w:r>
      <m:oMath>
        <m:r>
          <m:t>p</m:t>
        </m:r>
        <m:r>
          <m:t>&lt;</m:t>
        </m:r>
        <m:r>
          <m:t>.001</m:t>
        </m:r>
      </m:oMath>
      <w:r>
        <w:t xml:space="preserve">).</w:t>
      </w:r>
    </w:p>
    <w:p>
      <w:pPr>
        <w:pStyle w:val="Textkrper"/>
      </w:pPr>
      <w:r>
        <w:rPr>
          <w:i/>
        </w:rPr>
        <w:t xml:space="preserve">Q</w:t>
      </w:r>
      <w:r>
        <w:t xml:space="preserve"> </w:t>
      </w:r>
      <w:r>
        <w:t xml:space="preserve">responses were similar to detection</w:t>
      </w:r>
      <w:r>
        <w:t xml:space="preserve"> </w:t>
      </w:r>
      <w:r>
        <w:t xml:space="preserve">‘</w:t>
      </w:r>
      <w:r>
        <w:t xml:space="preserve">stimulus presence</w:t>
      </w:r>
      <w:r>
        <w:t xml:space="preserve">’</w:t>
      </w:r>
      <w:r>
        <w:t xml:space="preserve"> </w:t>
      </w:r>
      <w:r>
        <w:t xml:space="preserve">responses in several ways. First, response times were faster for</w:t>
      </w:r>
      <w:r>
        <w:t xml:space="preserve"> </w:t>
      </w:r>
      <w:r>
        <w:rPr>
          <w:i/>
        </w:rPr>
        <w:t xml:space="preserve">Q</w:t>
      </w:r>
      <w:r>
        <w:t xml:space="preserve"> </w:t>
      </w:r>
      <w:r>
        <w:t xml:space="preserve">than for</w:t>
      </w:r>
      <w:r>
        <w:t xml:space="preserve"> </w:t>
      </w:r>
      <w:r>
        <w:rPr>
          <w:i/>
        </w:rPr>
        <w:t xml:space="preserve">O</w:t>
      </w:r>
      <w:r>
        <w:t xml:space="preserve"> </w:t>
      </w:r>
      <w:r>
        <w:t xml:space="preserve">responses (</w:t>
      </w:r>
      <m:oMath>
        <m:sSub>
          <m:e>
            <m:r>
              <m:t>M</m:t>
            </m:r>
          </m:e>
          <m:sub>
            <m:r>
              <m:t>d</m:t>
            </m:r>
          </m:sub>
        </m:sSub>
        <m:r>
          <m:t>=</m:t>
        </m:r>
        <m:r>
          <m:t>−</m:t>
        </m:r>
        <m:r>
          <m:t>149.38</m:t>
        </m:r>
      </m:oMath>
      <w:r>
        <w:t xml:space="preserve">, 95% CI</w:t>
      </w:r>
      <w:r>
        <w:t xml:space="preserve"> </w:t>
      </w:r>
      <m:oMath>
        <m:r>
          <m:t>[</m:t>
        </m:r>
        <m:r>
          <m:t>−</m:t>
        </m:r>
        <m:r>
          <m:t>241.39</m:t>
        </m:r>
      </m:oMath>
      <w:r>
        <w:t xml:space="preserve">,</w:t>
      </w:r>
      <w:r>
        <w:t xml:space="preserve"> </w:t>
      </w:r>
      <m:oMath>
        <m:r>
          <m:t>−</m:t>
        </m:r>
        <m:r>
          <m:t>57.38</m:t>
        </m:r>
        <m:r>
          <m:t>]</m:t>
        </m:r>
      </m:oMath>
      <w:r>
        <w:t xml:space="preserve">,</w:t>
      </w:r>
      <w:r>
        <w:t xml:space="preserve"> </w:t>
      </w:r>
      <m:oMath>
        <m:r>
          <m:t>t</m:t>
        </m:r>
        <m:r>
          <m:t>(</m:t>
        </m:r>
        <m:r>
          <m:t>29</m:t>
        </m:r>
        <m:r>
          <m:t>)</m:t>
        </m:r>
        <m:r>
          <m:t>=</m:t>
        </m:r>
        <m:r>
          <m:t>−</m:t>
        </m:r>
        <m:r>
          <m:t>3.32</m:t>
        </m:r>
      </m:oMath>
      <w:r>
        <w:t xml:space="preserve">,</w:t>
      </w:r>
      <w:r>
        <w:t xml:space="preserve"> </w:t>
      </w:r>
      <m:oMath>
        <m:r>
          <m:t>p</m:t>
        </m:r>
        <m:r>
          <m:t>=</m:t>
        </m:r>
        <m:r>
          <m:t>.002</m:t>
        </m:r>
      </m:oMath>
      <w:r>
        <w:t xml:space="preserve">). Second, confidence was generally higher for</w:t>
      </w:r>
      <w:r>
        <w:t xml:space="preserve"> </w:t>
      </w:r>
      <w:r>
        <w:rPr>
          <w:i/>
        </w:rPr>
        <w:t xml:space="preserve">Q</w:t>
      </w:r>
      <w:r>
        <w:t xml:space="preserve"> </w:t>
      </w:r>
      <w:r>
        <w:t xml:space="preserve">responses (</w:t>
      </w:r>
      <m:oMath>
        <m:sSub>
          <m:e>
            <m:r>
              <m:t>M</m:t>
            </m:r>
          </m:e>
          <m:sub>
            <m:r>
              <m:t>d</m:t>
            </m:r>
          </m:sub>
        </m:sSub>
        <m:r>
          <m:t>=</m:t>
        </m:r>
        <m:r>
          <m:t>0.10</m:t>
        </m:r>
      </m:oMath>
      <w:r>
        <w:t xml:space="preserve">, 95% CI</w:t>
      </w:r>
      <w:r>
        <w:t xml:space="preserve"> </w:t>
      </w:r>
      <m:oMath>
        <m:r>
          <m:t>[</m:t>
        </m:r>
        <m:r>
          <m:t>0.05</m:t>
        </m:r>
      </m:oMath>
      <w:r>
        <w:t xml:space="preserve">,</w:t>
      </w:r>
      <w:r>
        <w:t xml:space="preserve"> </w:t>
      </w:r>
      <m:oMath>
        <m:r>
          <m:t>0.16</m:t>
        </m:r>
        <m:r>
          <m:t>]</m:t>
        </m:r>
      </m:oMath>
      <w:r>
        <w:t xml:space="preserve">,</w:t>
      </w:r>
      <w:r>
        <w:t xml:space="preserve"> </w:t>
      </w:r>
      <m:oMath>
        <m:r>
          <m:t>t</m:t>
        </m:r>
        <m:r>
          <m:t>(</m:t>
        </m:r>
        <m:r>
          <m:t>29</m:t>
        </m:r>
        <m:r>
          <m:t>)</m:t>
        </m:r>
        <m:r>
          <m:t>=</m:t>
        </m:r>
        <m:r>
          <m:t>3.63</m:t>
        </m:r>
      </m:oMath>
      <w:r>
        <w:t xml:space="preserve">,</w:t>
      </w:r>
      <w:r>
        <w:t xml:space="preserve"> </w:t>
      </w:r>
      <m:oMath>
        <m:r>
          <m:t>p</m:t>
        </m:r>
        <m:r>
          <m:t>=</m:t>
        </m:r>
        <m:r>
          <m:t>.001</m:t>
        </m:r>
      </m:oMath>
      <w:r>
        <w:t xml:space="preserve">). Lastly, in order to measure metacognitive asymmetry, we extracted the response-conditional type-2 ROC (rc-ROC) curves for the two responses (</w:t>
      </w:r>
      <w:r>
        <w:rPr>
          <w:i/>
        </w:rPr>
        <w:t xml:space="preserve">Q</w:t>
      </w:r>
      <w:r>
        <w:t xml:space="preserve"> </w:t>
      </w:r>
      <w:r>
        <w:t xml:space="preserve">and</w:t>
      </w:r>
      <w:r>
        <w:t xml:space="preserve"> </w:t>
      </w:r>
      <w:r>
        <w:rPr>
          <w:i/>
        </w:rPr>
        <w:t xml:space="preserve">O</w:t>
      </w:r>
      <w:r>
        <w:t xml:space="preserve">) in the discrimination task. This was done by plotting the cumulative distribution of confidence ratings (high to low) for correct responses against the same distribution for incorrect responses. The area under the rc-ROC curve (auROC) was then taken as a measure of metacognitive sensitivity</w:t>
      </w:r>
      <w:r>
        <w:t xml:space="preserve"> </w:t>
      </w:r>
      <w:r>
        <w:t xml:space="preserve">(Kanai et al., 2010; Meuwese et al., 2014)</w:t>
      </w:r>
      <w:r>
        <w:t xml:space="preserve">. This analysis was available only for those participats that had at least one of each error type (</w:t>
      </w:r>
      <w:r>
        <w:rPr>
          <w:i/>
        </w:rPr>
        <w:t xml:space="preserve">Q</w:t>
      </w:r>
      <w:r>
        <w:t xml:space="preserve"> </w:t>
      </w:r>
      <w:r>
        <w:t xml:space="preserve">miskaen for</w:t>
      </w:r>
      <w:r>
        <w:t xml:space="preserve"> </w:t>
      </w:r>
      <w:r>
        <w:rPr>
          <w:i/>
        </w:rPr>
        <w:t xml:space="preserve">O</w:t>
      </w:r>
      <w:r>
        <w:t xml:space="preserve"> </w:t>
      </w:r>
      <w:r>
        <w:t xml:space="preserve">and vice versa). Indeed, auAUC for</w:t>
      </w:r>
      <w:r>
        <w:t xml:space="preserve"> </w:t>
      </w:r>
      <w:r>
        <w:rPr>
          <w:i/>
        </w:rPr>
        <w:t xml:space="preserve">Q</w:t>
      </w:r>
      <w:r>
        <w:t xml:space="preserve"> </w:t>
      </w:r>
      <w:r>
        <w:t xml:space="preserve">responses (</w:t>
      </w:r>
      <m:oMath>
        <m:r>
          <m:t>M</m:t>
        </m:r>
        <m:r>
          <m:t>=</m:t>
        </m:r>
        <m:r>
          <m:t>0.67</m:t>
        </m:r>
      </m:oMath>
      <w:r>
        <w:t xml:space="preserve">, 95% CI</w:t>
      </w:r>
      <w:r>
        <w:t xml:space="preserve"> </w:t>
      </w:r>
      <m:oMath>
        <m:r>
          <m:t>[</m:t>
        </m:r>
        <m:r>
          <m:t>0.61</m:t>
        </m:r>
      </m:oMath>
      <w:r>
        <w:t xml:space="preserve">,</w:t>
      </w:r>
      <w:r>
        <w:t xml:space="preserve"> </w:t>
      </w:r>
      <m:oMath>
        <m:r>
          <m:t>0.74</m:t>
        </m:r>
        <m:r>
          <m:t>]</m:t>
        </m:r>
      </m:oMath>
      <w:r>
        <w:t xml:space="preserve">) was significantly higher than for</w:t>
      </w:r>
      <w:r>
        <w:t xml:space="preserve"> </w:t>
      </w:r>
      <w:r>
        <w:rPr>
          <w:i/>
        </w:rPr>
        <w:t xml:space="preserve">O</w:t>
      </w:r>
      <w:r>
        <w:t xml:space="preserve"> </w:t>
      </w:r>
      <w:r>
        <w:t xml:space="preserve">responses (</w:t>
      </w:r>
      <m:oMath>
        <m:r>
          <m:t>M</m:t>
        </m:r>
        <m:r>
          <m:t>=</m:t>
        </m:r>
        <m:r>
          <m:t>0.59</m:t>
        </m:r>
      </m:oMath>
      <w:r>
        <w:t xml:space="preserve">, 95% CI</w:t>
      </w:r>
      <w:r>
        <w:t xml:space="preserve"> </w:t>
      </w:r>
      <m:oMath>
        <m:r>
          <m:t>[</m:t>
        </m:r>
        <m:r>
          <m:t>0.53</m:t>
        </m:r>
      </m:oMath>
      <w:r>
        <w:t xml:space="preserve">,</w:t>
      </w:r>
      <w:r>
        <w:t xml:space="preserve"> </w:t>
      </w:r>
      <m:oMath>
        <m:r>
          <m:t>0.65</m:t>
        </m:r>
        <m:r>
          <m:t>]</m:t>
        </m:r>
      </m:oMath>
      <w:r>
        <w:t xml:space="preserve">;</w:t>
      </w:r>
      <w:r>
        <w:t xml:space="preserve"> </w:t>
      </w:r>
      <m:oMath>
        <m:r>
          <m:t>t</m:t>
        </m:r>
        <m:r>
          <m:t>(</m:t>
        </m:r>
        <m:r>
          <m:t>20</m:t>
        </m:r>
        <m:r>
          <m:t>)</m:t>
        </m:r>
        <m:r>
          <m:t>=</m:t>
        </m:r>
        <m:r>
          <m:t>2.15</m:t>
        </m:r>
      </m:oMath>
      <w:r>
        <w:t xml:space="preserve">,</w:t>
      </w:r>
      <w:r>
        <w:t xml:space="preserve"> </w:t>
      </w:r>
      <m:oMath>
        <m:r>
          <m:t>p</m:t>
        </m:r>
        <m:r>
          <m:t>=</m:t>
        </m:r>
        <m:r>
          <m:t>.044</m:t>
        </m:r>
      </m:oMath>
      <w:r>
        <w:t xml:space="preserve">; Cohen’s d = 0.47; see Figure</w:t>
      </w:r>
      <w:r>
        <w:t xml:space="preserve"> </w:t>
      </w:r>
      <w:r>
        <w:t xml:space="preserve">.), mirroring the metacognitive asymmetry for detection judgments.</w:t>
      </w:r>
    </w:p>
    <w:p>
      <w:pPr>
        <w:pStyle w:val="Textkrper"/>
      </w:pPr>
      <w:r>
        <w:t xml:space="preserve">Similar to</w:t>
      </w:r>
      <w:r>
        <w:t xml:space="preserve"> </w:t>
      </w:r>
      <w:r>
        <w:t xml:space="preserve">Vincent (2011)</w:t>
      </w:r>
      <w:r>
        <w:t xml:space="preserve">, we observed shallow standardized ROC (zROC) curves (</w:t>
      </w:r>
      <m:oMath>
        <m:r>
          <m:t>M</m:t>
        </m:r>
        <m:r>
          <m:t>=</m:t>
        </m:r>
      </m:oMath>
      <w:r>
        <w:t xml:space="preserve"> </w:t>
      </w:r>
      <w:r>
        <w:t xml:space="preserve">0.69</w:t>
      </w:r>
      <w:r>
        <w:t xml:space="preserve"> </w:t>
      </w:r>
      <m:oMath>
        <m:r>
          <m:t>t</m:t>
        </m:r>
        <m:r>
          <m:t>(</m:t>
        </m:r>
        <m:r>
          <m:t>29</m:t>
        </m:r>
        <m:r>
          <m:t>)</m:t>
        </m:r>
        <m:r>
          <m:t>=</m:t>
        </m:r>
        <m:r>
          <m:t>−</m:t>
        </m:r>
        <m:r>
          <m:t>6.70</m:t>
        </m:r>
      </m:oMath>
      <w:r>
        <w:t xml:space="preserve">,</w:t>
      </w:r>
      <w:r>
        <w:t xml:space="preserve"> </w:t>
      </w:r>
      <m:oMath>
        <m:r>
          <m:t>p</m:t>
        </m:r>
        <m:r>
          <m:t>&lt;</m:t>
        </m:r>
        <m:r>
          <m:t>.001</m:t>
        </m:r>
      </m:oMath>
      <w:r>
        <w:t xml:space="preserve"> </w:t>
      </w:r>
      <w:r>
        <w:t xml:space="preserve">for a t test on the log slopes). Shallow zROC curves are typical of situations where the signal distribution for one category is broader than for the other</w:t>
      </w:r>
      <w:r>
        <w:t xml:space="preserve"> </w:t>
      </w:r>
      <w:r>
        <w:t xml:space="preserve">(Kellij et al., 2018; Vincent, 2011)</w:t>
      </w:r>
      <w:r>
        <w:t xml:space="preserve">.</w:t>
      </w:r>
    </w:p>
    <w:p>
      <w:pPr>
        <w:pStyle w:val="CaptionedFigure"/>
      </w:pPr>
      <w:r>
        <w:drawing>
          <wp:inline>
            <wp:extent cx="4587290" cy="3669832"/>
            <wp:effectExtent b="0" l="0" r="0" t="0"/>
            <wp:docPr descr="Figure 2:.  response conditional ROC curves for the two discrimination responses. The area under the curve is a measure of metacognitive sensitivity. Bottom right inset: distributions of the area under the curve for the two responses, across participants. Overall, participants had lower metacognitive insight into the accuracy of their ‘O’ responses." title="" id="1" name="Picture"/>
            <a:graphic>
              <a:graphicData uri="http://schemas.openxmlformats.org/drawingml/2006/picture">
                <pic:pic>
                  <pic:nvPicPr>
                    <pic:cNvPr descr="asymmetry_files/figure-docx/rc-ROC-pilot-1.png" id="0" name="Picture"/>
                    <pic:cNvPicPr>
                      <a:picLocks noChangeArrowheads="1" noChangeAspect="1"/>
                    </pic:cNvPicPr>
                  </pic:nvPicPr>
                  <pic:blipFill>
                    <a:blip r:embed="rId98"/>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r>
        <w:rPr>
          <w:i/>
        </w:rPr>
        <w:t xml:space="preserve">Figure</w:t>
      </w:r>
      <w:r>
        <w:t xml:space="preserve"> </w:t>
      </w:r>
      <w:r>
        <w:rPr>
          <w:i/>
        </w:rPr>
        <w:t xml:space="preserve">2:</w:t>
      </w:r>
      <w:r>
        <w:t xml:space="preserve">.  response conditional ROC curves for the two discrimination responses. The area under the curve is a measure of metacognitive sensitivity. Bottom right inset: distributions of the area under the curve for the two responses, across participants. Overall, participants had lower metacognitive insight into the accuracy of their</w:t>
      </w:r>
      <w:r>
        <w:t xml:space="preserve"> </w:t>
      </w:r>
      <w:r>
        <w:t xml:space="preserve">‘</w:t>
      </w:r>
      <w:r>
        <w:t xml:space="preserve">O</w:t>
      </w:r>
      <w:r>
        <w:t xml:space="preserve">’</w:t>
      </w:r>
      <w:r>
        <w:t xml:space="preserve"> </w:t>
      </w:r>
      <w:r>
        <w:t xml:space="preserve">responses.</w:t>
      </w:r>
    </w:p>
    <w:sectPr w:rsidR="00006D3F" w:rsidSect="00CB20D0">
      <w:headerReference w:type="even" r:id="rId11"/>
      <w:headerReference w:type="default" r:id="rId10"/>
      <w:headerReference w:type="first" r:id="rId9"/>
      <w:pgSz w:w="12240" w:h="15840"/>
      <w:pgMar w:top="1417" w:right="1417" w:bottom="1134" w:left="1417" w:header="720" w:footer="720" w:gutter="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871EC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8F229A"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871EC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F36ED" w:rsidRDefault="00EF2796" w:rsidP="00572FF5">
    <w:pPr>
      <w:pStyle w:val="Kopfzeile"/>
      <w:ind w:right="357"/>
      <w:rPr>
        <w:lang w:val="de-DE"/>
      </w:rPr>
    </w:pPr>
    <w:r w:rsidRPr="005036C4">
      <w:t>asymmetry</w:t>
    </w:r>
    <w:r w:rsidR="00871ECB">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3596050"/>
      <w:docPartObj>
        <w:docPartGallery w:val="Page Numbers (Top of Page)"/>
        <w:docPartUnique/>
      </w:docPartObj>
    </w:sdtPr>
    <w:sdtContent>
      <w:p w:rsidR="00CB20D0" w:rsidRDefault="00CB20D0" w:rsidP="00CB20D0">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rPr>
          <w:t>1</w:t>
        </w:r>
        <w:r>
          <w:rPr>
            <w:rStyle w:val="Seitenzahl"/>
          </w:rPr>
          <w:fldChar w:fldCharType="end"/>
        </w:r>
      </w:p>
    </w:sdtContent>
  </w:sdt>
  <w:p w:rsidR="00CB20D0" w:rsidRPr="00CB20D0" w:rsidRDefault="00CB20D0" w:rsidP="00CB20D0">
    <w:pPr>
      <w:pStyle w:val="Kopfzeile"/>
      <w:ind w:right="357"/>
      <w:rPr>
        <w:lang w:val="de-DE"/>
      </w:rPr>
    </w:pPr>
    <w:r w:rsidRPr="005036C4">
      <w:t>Running head: asymmetry</w:t>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EC6A2DF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C62132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2BAE31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4507FF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D4C896B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6B486D6"/>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282EB3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B8633C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D1AAE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E585D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70CD2DE"/>
    <w:multiLevelType w:val="multilevel"/>
    <w:tmpl w:val="9FD2E3F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1" w15:restartNumberingAfterBreak="0">
    <w:nsid w:val="2C1AE401"/>
    <w:multiLevelType w:val="multilevel"/>
    <w:tmpl w:val="63C869C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71315dca"/>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4">
    <w:nsid w:val="47261bad"/>
    <w:multiLevelType w:val="multilevel"/>
    <w:lvl w:ilvl="0">
      <w:start w:val="4"/>
      <w:numFmt w:val="decimal"/>
      <w:lvlText w:val="%1."/>
      <w:lvlJc w:val="left"/>
      <w:pPr>
        <w:tabs>
          <w:tab w:val="num" w:pos="0"/>
        </w:tabs>
        <w:ind w:left="480" w:hanging="480"/>
      </w:pPr>
    </w:lvl>
    <w:lvl w:ilvl="1">
      <w:start w:val="4"/>
      <w:numFmt w:val="decimal"/>
      <w:lvlText w:val="%2."/>
      <w:lvlJc w:val="left"/>
      <w:pPr>
        <w:tabs>
          <w:tab w:val="num" w:pos="720"/>
        </w:tabs>
        <w:ind w:left="1200" w:hanging="480"/>
      </w:pPr>
    </w:lvl>
    <w:lvl w:ilvl="2">
      <w:start w:val="4"/>
      <w:numFmt w:val="decimal"/>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decimal"/>
      <w:lvlText w:val="%5."/>
      <w:lvlJc w:val="left"/>
      <w:pPr>
        <w:tabs>
          <w:tab w:val="num" w:pos="2880"/>
        </w:tabs>
        <w:ind w:left="3360" w:hanging="480"/>
      </w:pPr>
    </w:lvl>
    <w:lvl w:ilvl="5">
      <w:start w:val="4"/>
      <w:numFmt w:val="decimal"/>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decimal"/>
      <w:lvlText w:val="%8."/>
      <w:lvlJc w:val="left"/>
      <w:pPr>
        <w:tabs>
          <w:tab w:val="num" w:pos="5040"/>
        </w:tabs>
        <w:ind w:left="5520" w:hanging="480"/>
      </w:pPr>
    </w:lvl>
    <w:lvl w:ilvl="8">
      <w:start w:val="4"/>
      <w:numFmt w:val="decimal"/>
      <w:lvlText w:val="%9."/>
      <w:lvlJc w:val="left"/>
      <w:pPr>
        <w:tabs>
          <w:tab w:val="num" w:pos="5760"/>
        </w:tabs>
        <w:ind w:left="6240" w:hanging="480"/>
      </w:pPr>
    </w:lvl>
  </w:abstractNum>
  <w:abstractNum w:abstractNumId="99415">
    <w:nsid w:val="b3cbbdee"/>
    <w:multiLevelType w:val="multilevel"/>
    <w:lvl w:ilvl="0">
      <w:start w:val="5"/>
      <w:numFmt w:val="decimal"/>
      <w:lvlText w:val="%1."/>
      <w:lvlJc w:val="left"/>
      <w:pPr>
        <w:tabs>
          <w:tab w:val="num" w:pos="0"/>
        </w:tabs>
        <w:ind w:left="480" w:hanging="480"/>
      </w:pPr>
    </w:lvl>
    <w:lvl w:ilvl="1">
      <w:start w:val="5"/>
      <w:numFmt w:val="decimal"/>
      <w:lvlText w:val="%2."/>
      <w:lvlJc w:val="left"/>
      <w:pPr>
        <w:tabs>
          <w:tab w:val="num" w:pos="720"/>
        </w:tabs>
        <w:ind w:left="1200" w:hanging="480"/>
      </w:pPr>
    </w:lvl>
    <w:lvl w:ilvl="2">
      <w:start w:val="5"/>
      <w:numFmt w:val="decimal"/>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decimal"/>
      <w:lvlText w:val="%5."/>
      <w:lvlJc w:val="left"/>
      <w:pPr>
        <w:tabs>
          <w:tab w:val="num" w:pos="2880"/>
        </w:tabs>
        <w:ind w:left="3360" w:hanging="480"/>
      </w:pPr>
    </w:lvl>
    <w:lvl w:ilvl="5">
      <w:start w:val="5"/>
      <w:numFmt w:val="decimal"/>
      <w:lvlText w:val="%6."/>
      <w:lvlJc w:val="left"/>
      <w:pPr>
        <w:tabs>
          <w:tab w:val="num" w:pos="3600"/>
        </w:tabs>
        <w:ind w:left="4080" w:hanging="480"/>
      </w:pPr>
    </w:lvl>
    <w:lvl w:ilvl="6">
      <w:start w:val="5"/>
      <w:numFmt w:val="decimal"/>
      <w:lvlText w:val="%7."/>
      <w:lvlJc w:val="left"/>
      <w:pPr>
        <w:tabs>
          <w:tab w:val="num" w:pos="4320"/>
        </w:tabs>
        <w:ind w:left="4800" w:hanging="480"/>
      </w:pPr>
    </w:lvl>
    <w:lvl w:ilvl="7">
      <w:start w:val="5"/>
      <w:numFmt w:val="decimal"/>
      <w:lvlText w:val="%8."/>
      <w:lvlJc w:val="left"/>
      <w:pPr>
        <w:tabs>
          <w:tab w:val="num" w:pos="5040"/>
        </w:tabs>
        <w:ind w:left="5520" w:hanging="480"/>
      </w:pPr>
    </w:lvl>
    <w:lvl w:ilvl="8">
      <w:start w:val="5"/>
      <w:numFmt w:val="decimal"/>
      <w:lvlText w:val="%9."/>
      <w:lvlJc w:val="left"/>
      <w:pPr>
        <w:tabs>
          <w:tab w:val="num" w:pos="5760"/>
        </w:tabs>
        <w:ind w:left="6240" w:hanging="480"/>
      </w:pPr>
    </w:lvl>
  </w:abstractNum>
  <w:abstractNum w:abstractNumId="99416">
    <w:nsid w:val="4fbe019a"/>
    <w:multiLevelType w:val="multilevel"/>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decimal"/>
      <w:lvlText w:val="%8."/>
      <w:lvlJc w:val="left"/>
      <w:pPr>
        <w:tabs>
          <w:tab w:val="num" w:pos="5040"/>
        </w:tabs>
        <w:ind w:left="5520" w:hanging="480"/>
      </w:pPr>
    </w:lvl>
    <w:lvl w:ilvl="8">
      <w:start w:val="6"/>
      <w:numFmt w:val="decimal"/>
      <w:lvlText w:val="%9."/>
      <w:lvlJc w:val="left"/>
      <w:pPr>
        <w:tabs>
          <w:tab w:val="num" w:pos="5760"/>
        </w:tabs>
        <w:ind w:left="6240" w:hanging="480"/>
      </w:pPr>
    </w:lvl>
  </w:abstractNum>
  <w:num w:numId="1">
    <w:abstractNumId w:val="10"/>
  </w:num>
  <w:num w:numId="2">
    <w:abstractNumId w:val="10"/>
  </w:num>
  <w:num w:numId="3">
    <w:abstractNumId w:val="11"/>
  </w:num>
  <w:num w:numId="4">
    <w:abstractNumId w:val="0"/>
  </w:num>
  <w:num w:numId="5">
    <w:abstractNumId w:val="1"/>
  </w:num>
  <w:num w:numId="6">
    <w:abstractNumId w:val="2"/>
  </w:num>
  <w:num w:numId="7">
    <w:abstractNumId w:val="3"/>
  </w:num>
  <w:num w:numId="8">
    <w:abstractNumId w:val="8"/>
  </w:num>
  <w:num w:numId="9">
    <w:abstractNumId w:val="4"/>
  </w:num>
  <w:num w:numId="10">
    <w:abstractNumId w:val="5"/>
  </w:num>
  <w:num w:numId="11">
    <w:abstractNumId w:val="6"/>
  </w:num>
  <w:num w:numId="12">
    <w:abstractNumId w:val="7"/>
  </w:num>
  <w:num w:numId="13">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hyphenationZone w:val="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Standard">
    <w:name w:val="Normal"/>
    <w:qFormat/>
    <w:rsid w:val="00572FF5"/>
    <w:pPr>
      <w:spacing w:before="120" w:after="240" w:line="480" w:lineRule="auto"/>
    </w:pPr>
    <w:rPr>
      <w:rFonts w:ascii="Times New Roman" w:hAnsi="Times New Roman"/>
    </w:rPr>
  </w:style>
  <w:style w:type="paragraph" w:styleId="berschrift1">
    <w:name w:val="heading 1"/>
    <w:basedOn w:val="Standard"/>
    <w:next w:val="Textkrper"/>
    <w:uiPriority w:val="9"/>
    <w:qFormat/>
    <w:rsid w:val="00572FF5"/>
    <w:pPr>
      <w:keepNext/>
      <w:keepLines/>
      <w:spacing w:before="480" w:after="0"/>
      <w:jc w:val="center"/>
      <w:outlineLvl w:val="0"/>
    </w:pPr>
    <w:rPr>
      <w:rFonts w:eastAsiaTheme="majorEastAsia" w:cstheme="majorBidi"/>
      <w:b/>
      <w:bCs/>
      <w:szCs w:val="32"/>
    </w:rPr>
  </w:style>
  <w:style w:type="paragraph" w:styleId="berschrift2">
    <w:name w:val="heading 2"/>
    <w:basedOn w:val="berschrift1"/>
    <w:next w:val="Textkrper"/>
    <w:uiPriority w:val="9"/>
    <w:unhideWhenUsed/>
    <w:qFormat/>
    <w:rsid w:val="00AB6A32"/>
    <w:pPr>
      <w:spacing w:before="200"/>
      <w:jc w:val="left"/>
      <w:outlineLvl w:val="1"/>
    </w:pPr>
    <w:rPr>
      <w:bCs w:val="0"/>
    </w:rPr>
  </w:style>
  <w:style w:type="paragraph" w:styleId="berschrift3">
    <w:name w:val="heading 3"/>
    <w:basedOn w:val="berschrift2"/>
    <w:next w:val="Standard"/>
    <w:uiPriority w:val="9"/>
    <w:unhideWhenUsed/>
    <w:qFormat/>
    <w:rsid w:val="007F2EC5"/>
    <w:pPr>
      <w:framePr w:wrap="around" w:vAnchor="text" w:hAnchor="text" w:y="1"/>
      <w:spacing w:before="0" w:line="240" w:lineRule="auto"/>
      <w:ind w:firstLine="680"/>
      <w:outlineLvl w:val="2"/>
    </w:pPr>
    <w:rPr>
      <w:bCs/>
      <w:szCs w:val="28"/>
    </w:rPr>
  </w:style>
  <w:style w:type="paragraph" w:styleId="berschrift4">
    <w:name w:val="heading 4"/>
    <w:basedOn w:val="berschrift3"/>
    <w:next w:val="Textkrper"/>
    <w:uiPriority w:val="9"/>
    <w:unhideWhenUsed/>
    <w:qFormat/>
    <w:rsid w:val="00F0724A"/>
    <w:pPr>
      <w:framePr w:wrap="around"/>
      <w:outlineLvl w:val="3"/>
    </w:pPr>
    <w:rPr>
      <w:bCs w:val="0"/>
      <w:i/>
    </w:rPr>
  </w:style>
  <w:style w:type="paragraph" w:styleId="berschrift5">
    <w:name w:val="heading 5"/>
    <w:basedOn w:val="berschrift4"/>
    <w:next w:val="Textkrper"/>
    <w:uiPriority w:val="9"/>
    <w:unhideWhenUsed/>
    <w:qFormat/>
    <w:rsid w:val="00F0724A"/>
    <w:pPr>
      <w:framePr w:wrap="around"/>
      <w:outlineLvl w:val="4"/>
    </w:pPr>
    <w:rPr>
      <w:b w:val="0"/>
      <w:iCs/>
    </w:rPr>
  </w:style>
  <w:style w:type="paragraph" w:styleId="berschrift6">
    <w:name w:val="heading 6"/>
    <w:basedOn w:val="Standard"/>
    <w:next w:val="Textkrper"/>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berschrift7">
    <w:name w:val="heading 7"/>
    <w:basedOn w:val="Standard"/>
    <w:next w:val="Textkrper"/>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berschrift8">
    <w:name w:val="heading 8"/>
    <w:basedOn w:val="Standard"/>
    <w:next w:val="Textkrper"/>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berschrift9">
    <w:name w:val="heading 9"/>
    <w:basedOn w:val="Standard"/>
    <w:next w:val="Textkrper"/>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link w:val="TextkrperZchn"/>
    <w:qFormat/>
    <w:rsid w:val="005036C4"/>
    <w:pPr>
      <w:spacing w:before="180"/>
      <w:ind w:firstLine="680"/>
    </w:pPr>
  </w:style>
  <w:style w:type="paragraph" w:customStyle="1" w:styleId="FirstParagraph">
    <w:name w:val="First Paragraph"/>
    <w:basedOn w:val="Textkrper"/>
    <w:next w:val="Textkrper"/>
    <w:qFormat/>
  </w:style>
  <w:style w:type="paragraph" w:customStyle="1" w:styleId="Compact">
    <w:name w:val="Compact"/>
    <w:basedOn w:val="Textkrper"/>
    <w:qFormat/>
    <w:rsid w:val="00AF6DE6"/>
    <w:pPr>
      <w:spacing w:after="180" w:line="240" w:lineRule="auto"/>
      <w:ind w:firstLine="0"/>
    </w:pPr>
  </w:style>
  <w:style w:type="paragraph" w:styleId="Titel">
    <w:name w:val="Title"/>
    <w:basedOn w:val="Standard"/>
    <w:next w:val="Textkrper"/>
    <w:qFormat/>
    <w:rsid w:val="00186200"/>
    <w:pPr>
      <w:keepNext/>
      <w:keepLines/>
      <w:spacing w:before="2040"/>
      <w:jc w:val="center"/>
    </w:pPr>
    <w:rPr>
      <w:rFonts w:eastAsiaTheme="majorEastAsia" w:cstheme="majorBidi"/>
      <w:bCs/>
      <w:szCs w:val="36"/>
    </w:rPr>
  </w:style>
  <w:style w:type="paragraph" w:styleId="Untertitel">
    <w:name w:val="Subtitle"/>
    <w:basedOn w:val="Titel"/>
    <w:next w:val="Textkrper"/>
    <w:qFormat/>
    <w:rsid w:val="00572FF5"/>
    <w:pPr>
      <w:spacing w:before="240"/>
    </w:pPr>
    <w:rPr>
      <w:szCs w:val="30"/>
    </w:rPr>
  </w:style>
  <w:style w:type="paragraph" w:customStyle="1" w:styleId="Author">
    <w:name w:val="Author"/>
    <w:basedOn w:val="Titel"/>
    <w:next w:val="Textkrper"/>
    <w:qFormat/>
    <w:rsid w:val="00CB20D0"/>
    <w:pPr>
      <w:spacing w:before="0"/>
    </w:pPr>
  </w:style>
  <w:style w:type="paragraph" w:styleId="Datum">
    <w:name w:val="Date"/>
    <w:next w:val="Textkrper"/>
    <w:qFormat/>
    <w:pPr>
      <w:keepNext/>
      <w:keepLines/>
      <w:jc w:val="center"/>
    </w:pPr>
  </w:style>
  <w:style w:type="paragraph" w:customStyle="1" w:styleId="Abstract">
    <w:name w:val="Abstract"/>
    <w:basedOn w:val="Standard"/>
    <w:next w:val="Textkrper"/>
    <w:qFormat/>
    <w:rsid w:val="00572FF5"/>
    <w:pPr>
      <w:keepNext/>
      <w:keepLines/>
      <w:spacing w:before="300" w:after="300"/>
    </w:pPr>
    <w:rPr>
      <w:szCs w:val="20"/>
    </w:rPr>
  </w:style>
  <w:style w:type="paragraph" w:styleId="Literaturverzeichnis">
    <w:name w:val="Bibliography"/>
    <w:basedOn w:val="Standard"/>
    <w:qFormat/>
    <w:rsid w:val="00572FF5"/>
    <w:pPr>
      <w:ind w:left="680" w:hanging="680"/>
    </w:pPr>
  </w:style>
  <w:style w:type="paragraph" w:styleId="Blocktext">
    <w:name w:val="Block Text"/>
    <w:basedOn w:val="Textkrper"/>
    <w:next w:val="Textkrper"/>
    <w:uiPriority w:val="9"/>
    <w:unhideWhenUsed/>
    <w:qFormat/>
    <w:pPr>
      <w:spacing w:before="100" w:after="100"/>
    </w:pPr>
    <w:rPr>
      <w:rFonts w:asciiTheme="majorHAnsi" w:eastAsiaTheme="majorEastAsia" w:hAnsiTheme="majorHAnsi" w:cstheme="majorBidi"/>
      <w:bCs/>
      <w:sz w:val="20"/>
      <w:szCs w:val="20"/>
    </w:rPr>
  </w:style>
  <w:style w:type="paragraph" w:styleId="Funotentext">
    <w:name w:val="footnote text"/>
    <w:basedOn w:val="Standard"/>
    <w:uiPriority w:val="9"/>
    <w:unhideWhenUsed/>
    <w:qFormat/>
    <w:rsid w:val="00006D3F"/>
    <w:pPr>
      <w:spacing w:before="0"/>
    </w:pPr>
  </w:style>
  <w:style w:type="table" w:customStyle="1" w:styleId="Table">
    <w:name w:val="Table"/>
    <w:basedOn w:val="NormaleTabelle"/>
    <w:uiPriority w:val="99"/>
    <w:rsid w:val="00141BA7"/>
    <w:pPr>
      <w:spacing w:after="0"/>
    </w:pPr>
    <w:rPr>
      <w:rFonts w:ascii="Times New Roman" w:hAnsi="Times New Roman"/>
    </w:rPr>
    <w:tblPr>
      <w:tblBorders>
        <w:top w:val="single" w:sz="12" w:space="0" w:color="auto"/>
        <w:bottom w:val="single" w:sz="4" w:space="0" w:color="auto"/>
      </w:tblBorders>
    </w:tblPr>
    <w:tcPr>
      <w:vAlign w:val="center"/>
    </w:tcPr>
    <w:tblStylePr w:type="firstRow">
      <w:tblPr/>
      <w:tcPr>
        <w:tcBorders>
          <w:top w:val="single" w:sz="8" w:space="0" w:color="auto"/>
          <w:bottom w:val="single" w:sz="4" w:space="0" w:color="auto"/>
        </w:tcBorders>
      </w:tcPr>
    </w:tblStylePr>
    <w:tblStylePr w:type="lastRow">
      <w:tblPr/>
      <w:tcPr>
        <w:tcBorders>
          <w:bottom w:val="single" w:sz="4" w:space="0" w:color="auto"/>
        </w:tcBorders>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rsid w:val="00006D3F"/>
    <w:pPr>
      <w:keepNext/>
    </w:pPr>
  </w:style>
  <w:style w:type="paragraph" w:customStyle="1" w:styleId="ImageCaption">
    <w:name w:val="Image Caption"/>
    <w:basedOn w:val="Beschriftung"/>
    <w:rsid w:val="00421B26"/>
    <w:rPr>
      <w:i w:val="0"/>
    </w:rPr>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styleId="Funotenzeichen">
    <w:name w:val="footnote reference"/>
    <w:basedOn w:val="BeschriftungZchn"/>
    <w:rPr>
      <w:vertAlign w:val="superscript"/>
    </w:rPr>
  </w:style>
  <w:style w:type="character" w:styleId="Hyperlink">
    <w:name w:val="Hyperlink"/>
    <w:basedOn w:val="BeschriftungZchn"/>
    <w:rPr>
      <w:color w:val="4F81BD" w:themeColor="accent1"/>
    </w:rPr>
  </w:style>
  <w:style w:type="paragraph" w:styleId="Inhaltsverzeichnisberschrift">
    <w:name w:val="TOC Heading"/>
    <w:basedOn w:val="berschrift1"/>
    <w:next w:val="Textkrper"/>
    <w:uiPriority w:val="39"/>
    <w:unhideWhenUsed/>
    <w:qFormat/>
    <w:rsid w:val="00006D3F"/>
    <w:pPr>
      <w:spacing w:before="240" w:after="240"/>
      <w:outlineLvl w:val="9"/>
    </w:pPr>
    <w:rPr>
      <w:bCs w:val="0"/>
    </w:rPr>
  </w:style>
  <w:style w:type="paragraph" w:customStyle="1" w:styleId="SourceCode">
    <w:name w:val="Source Code"/>
    <w:basedOn w:val="Standard"/>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Kopfzeile">
    <w:name w:val="header"/>
    <w:basedOn w:val="Standard"/>
    <w:link w:val="KopfzeileZchn"/>
    <w:unhideWhenUsed/>
    <w:rsid w:val="00AF36ED"/>
    <w:pPr>
      <w:tabs>
        <w:tab w:val="center" w:pos="4536"/>
        <w:tab w:val="right" w:pos="9072"/>
      </w:tabs>
      <w:spacing w:after="0"/>
    </w:pPr>
  </w:style>
  <w:style w:type="character" w:customStyle="1" w:styleId="KopfzeileZchn">
    <w:name w:val="Kopfzeile Zchn"/>
    <w:basedOn w:val="Absatz-Standardschriftart"/>
    <w:link w:val="Kopfzeile"/>
    <w:rsid w:val="00AF36ED"/>
  </w:style>
  <w:style w:type="paragraph" w:styleId="Fuzeile">
    <w:name w:val="footer"/>
    <w:basedOn w:val="Standard"/>
    <w:link w:val="FuzeileZchn"/>
    <w:unhideWhenUsed/>
    <w:rsid w:val="00AF36ED"/>
    <w:pPr>
      <w:tabs>
        <w:tab w:val="center" w:pos="4536"/>
        <w:tab w:val="right" w:pos="9072"/>
      </w:tabs>
      <w:spacing w:after="0"/>
    </w:pPr>
  </w:style>
  <w:style w:type="character" w:customStyle="1" w:styleId="FuzeileZchn">
    <w:name w:val="Fußzeile Zchn"/>
    <w:basedOn w:val="Absatz-Standardschriftart"/>
    <w:link w:val="Fuzeile"/>
    <w:rsid w:val="00AF36ED"/>
  </w:style>
  <w:style w:type="character" w:styleId="Seitenzahl">
    <w:name w:val="page number"/>
    <w:basedOn w:val="Absatz-Standardschriftart"/>
    <w:semiHidden/>
    <w:unhideWhenUsed/>
    <w:rsid w:val="00AF36ED"/>
  </w:style>
  <w:style w:type="paragraph" w:customStyle="1" w:styleId="h1-pagebreak">
    <w:name w:val="h1-pagebreak"/>
    <w:basedOn w:val="berschrift1"/>
    <w:qFormat/>
    <w:rsid w:val="00006D3F"/>
    <w:pPr>
      <w:pageBreakBefore/>
    </w:pPr>
  </w:style>
  <w:style w:type="character" w:customStyle="1" w:styleId="TextkrperZchn">
    <w:name w:val="Textkörper Zchn"/>
    <w:basedOn w:val="Absatz-Standardschriftart"/>
    <w:link w:val="Textkrper"/>
    <w:rsid w:val="005036C4"/>
    <w:rPr>
      <w:rFonts w:ascii="Times New Roman" w:hAnsi="Times New Roman"/>
    </w:rPr>
  </w:style>
  <w:style w:type="table" w:styleId="Tabellenraster">
    <w:name w:val="Table Grid"/>
    <w:basedOn w:val="NormaleTabelle"/>
    <w:rsid w:val="00006D3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1hell">
    <w:name w:val="Grid Table 1 Light"/>
    <w:basedOn w:val="NormaleTabelle"/>
    <w:rsid w:val="00006D3F"/>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EinfacheTabelle2">
    <w:name w:val="Plain Table 2"/>
    <w:basedOn w:val="NormaleTabelle"/>
    <w:rsid w:val="00006D3F"/>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EinfacheTabelle1">
    <w:name w:val="Plain Table 1"/>
    <w:basedOn w:val="NormaleTabelle"/>
    <w:rsid w:val="00006D3F"/>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Buchtitel">
    <w:name w:val="Book Title"/>
    <w:basedOn w:val="Absatz-Standardschriftart"/>
    <w:rsid w:val="00F14702"/>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3.xml" /><Relationship Id="rId10" Type="http://schemas.openxmlformats.org/officeDocument/2006/relationships/header" Target="header2.xml" /><Relationship Id="rId11" Type="http://schemas.openxmlformats.org/officeDocument/2006/relationships/header" Target="header1.xml" /><Relationship Type="http://schemas.openxmlformats.org/officeDocument/2006/relationships/image" Id="rId96" Target="media/rId96.png" /><Relationship Type="http://schemas.openxmlformats.org/officeDocument/2006/relationships/image" Id="rId98" Target="media/rId98.png"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27" Target="http://167.99.93.4/publix/13/start?batchId=45&amp;generalMultiple" TargetMode="External" /><Relationship Type="http://schemas.openxmlformats.org/officeDocument/2006/relationships/hyperlink" Id="rId63" Target="https://CRAN.R-project.org/package=BayesFactor" TargetMode="External" /><Relationship Type="http://schemas.openxmlformats.org/officeDocument/2006/relationships/hyperlink" Id="rId71" Target="https://CRAN.R-project.org/package=broom" TargetMode="External" /><Relationship Type="http://schemas.openxmlformats.org/officeDocument/2006/relationships/hyperlink" Id="rId87" Target="https://CRAN.R-project.org/package=cowplot" TargetMode="External" /><Relationship Type="http://schemas.openxmlformats.org/officeDocument/2006/relationships/hyperlink" Id="rId83" Target="https://CRAN.R-project.org/package=dplyr" TargetMode="External" /><Relationship Type="http://schemas.openxmlformats.org/officeDocument/2006/relationships/hyperlink" Id="rId47" Target="https://CRAN.R-project.org/package=pwr" TargetMode="External" /><Relationship Type="http://schemas.openxmlformats.org/officeDocument/2006/relationships/hyperlink" Id="rId85" Target="https://CRAN.R-project.org/package=tidyr" TargetMode="External" /><Relationship Type="http://schemas.openxmlformats.org/officeDocument/2006/relationships/hyperlink" Id="rId45" Target="https://doi.org/10.32614/RJ-2018-017" TargetMode="External" /><Relationship Type="http://schemas.openxmlformats.org/officeDocument/2006/relationships/hyperlink" Id="rId81" Target="https://ggplot2.tidyverse.org" TargetMode="External" /><Relationship Type="http://schemas.openxmlformats.org/officeDocument/2006/relationships/hyperlink" Id="rId43" Target="https://github.com/crsh/papaja" TargetMode="External" /><Relationship Type="http://schemas.openxmlformats.org/officeDocument/2006/relationships/hyperlink" Id="rId35" Target="https://github.com/matanmazor/asymmetry" TargetMode="External" /><Relationship Type="http://schemas.openxmlformats.org/officeDocument/2006/relationships/hyperlink" Id="rId36" Target="https://github.com/matanmazor/asymmetry/blob/master/Experiments/Q_in_O/results/pilot/jatos_results_batch3.csv" TargetMode="External" /><Relationship Type="http://schemas.openxmlformats.org/officeDocument/2006/relationships/hyperlink" Id="rId69" Target="https://www.R-project.org/" TargetMode="External" /><Relationship Type="http://schemas.openxmlformats.org/officeDocument/2006/relationships/hyperlink" Id="rId20" Target="mailto:mtnmzor@gmail.com" TargetMode="External" /></Relationships>
</file>

<file path=word/_rels/footnotes.xml.rels><?xml version="1.0" encoding="UTF-8"?>
<Relationships xmlns="http://schemas.openxmlformats.org/package/2006/relationships"><Relationship Type="http://schemas.openxmlformats.org/officeDocument/2006/relationships/hyperlink" Id="rId27" Target="http://167.99.93.4/publix/13/start?batchId=45&amp;generalMultiple" TargetMode="External" /><Relationship Type="http://schemas.openxmlformats.org/officeDocument/2006/relationships/hyperlink" Id="rId63" Target="https://CRAN.R-project.org/package=BayesFactor" TargetMode="External" /><Relationship Type="http://schemas.openxmlformats.org/officeDocument/2006/relationships/hyperlink" Id="rId71" Target="https://CRAN.R-project.org/package=broom" TargetMode="External" /><Relationship Type="http://schemas.openxmlformats.org/officeDocument/2006/relationships/hyperlink" Id="rId87" Target="https://CRAN.R-project.org/package=cowplot" TargetMode="External" /><Relationship Type="http://schemas.openxmlformats.org/officeDocument/2006/relationships/hyperlink" Id="rId83" Target="https://CRAN.R-project.org/package=dplyr" TargetMode="External" /><Relationship Type="http://schemas.openxmlformats.org/officeDocument/2006/relationships/hyperlink" Id="rId47" Target="https://CRAN.R-project.org/package=pwr" TargetMode="External" /><Relationship Type="http://schemas.openxmlformats.org/officeDocument/2006/relationships/hyperlink" Id="rId85" Target="https://CRAN.R-project.org/package=tidyr" TargetMode="External" /><Relationship Type="http://schemas.openxmlformats.org/officeDocument/2006/relationships/hyperlink" Id="rId45" Target="https://doi.org/10.32614/RJ-2018-017" TargetMode="External" /><Relationship Type="http://schemas.openxmlformats.org/officeDocument/2006/relationships/hyperlink" Id="rId81" Target="https://ggplot2.tidyverse.org" TargetMode="External" /><Relationship Type="http://schemas.openxmlformats.org/officeDocument/2006/relationships/hyperlink" Id="rId43" Target="https://github.com/crsh/papaja" TargetMode="External" /><Relationship Type="http://schemas.openxmlformats.org/officeDocument/2006/relationships/hyperlink" Id="rId35" Target="https://github.com/matanmazor/asymmetry" TargetMode="External" /><Relationship Type="http://schemas.openxmlformats.org/officeDocument/2006/relationships/hyperlink" Id="rId36" Target="https://github.com/matanmazor/asymmetry/blob/master/Experiments/Q_in_O/results/pilot/jatos_results_batch3.csv" TargetMode="External" /><Relationship Type="http://schemas.openxmlformats.org/officeDocument/2006/relationships/hyperlink" Id="rId69" Target="https://www.R-project.org/" TargetMode="External" /><Relationship Type="http://schemas.openxmlformats.org/officeDocument/2006/relationships/hyperlink" Id="rId20" Target="mailto:mtnmzo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135</Words>
  <Characters>856</Characters>
  <Application>Microsoft Office Word</Application>
  <DocSecurity>0</DocSecurity>
  <Lines>7</Lines>
  <Paragraphs>1</Paragraphs>
  <ScaleCrop>false</ScaleCrop>
  <HeadingPairs>
    <vt:vector size="2" baseType="variant">
      <vt:variant>
        <vt:lpstr>Titel</vt:lpstr>
      </vt:variant>
      <vt:variant>
        <vt:i4>1</vt:i4>
      </vt:variant>
    </vt:vector>
  </HeadingPairs>
  <TitlesOfParts>
    <vt:vector size="1" baseType="lpstr">
      <vt:lpstr>Untitled</vt:lpstr>
    </vt:vector>
  </TitlesOfParts>
  <Company/>
  <LinksUpToDate>false</LinksUpToDate>
  <CharactersWithSpaces>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Metacognitive and search asymmetries for feature presence and absence</dc:title>
  <dc:creator/>
  <cp:keywords/>
  <dcterms:created xsi:type="dcterms:W3CDTF">2020-08-25T14:45:56Z</dcterms:created>
  <dcterms:modified xsi:type="dcterms:W3CDTF">2020-08-25T14:45:56Z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bibliography">
    <vt:lpwstr>r-references.bib</vt:lpwstr>
  </property>
  <property fmtid="{D5CDD505-2E9C-101B-9397-08002B2CF9AE}" pid="4" name="classoption">
    <vt:lpwstr>man</vt:lpwstr>
  </property>
  <property fmtid="{D5CDD505-2E9C-101B-9397-08002B2CF9AE}" pid="5" name="csl">
    <vt:lpwstr>C:\Users\mmazor\Documents\R\R-3.6.0\library\papaja\rmd\apa6.csl</vt:lpwstr>
  </property>
  <property fmtid="{D5CDD505-2E9C-101B-9397-08002B2CF9AE}" pid="6" name="documentclass">
    <vt:lpwstr>apa6</vt:lpwstr>
  </property>
  <property fmtid="{D5CDD505-2E9C-101B-9397-08002B2CF9AE}" pid="7" name="draft">
    <vt:lpwstr>no</vt:lpwstr>
  </property>
  <property fmtid="{D5CDD505-2E9C-101B-9397-08002B2CF9AE}" pid="8" name="figurelist">
    <vt:lpwstr>no</vt:lpwstr>
  </property>
  <property fmtid="{D5CDD505-2E9C-101B-9397-08002B2CF9AE}" pid="9" name="floatsintext">
    <vt:lpwstr>yes</vt:lpwstr>
  </property>
  <property fmtid="{D5CDD505-2E9C-101B-9397-08002B2CF9AE}" pid="10" name="footnotelist">
    <vt:lpwstr>no</vt:lpwstr>
  </property>
  <property fmtid="{D5CDD505-2E9C-101B-9397-08002B2CF9AE}" pid="11" name="linenumbers">
    <vt:lpwstr>yes</vt:lpwstr>
  </property>
  <property fmtid="{D5CDD505-2E9C-101B-9397-08002B2CF9AE}" pid="12" name="mask">
    <vt:lpwstr>no</vt:lpwstr>
  </property>
  <property fmtid="{D5CDD505-2E9C-101B-9397-08002B2CF9AE}" pid="13" name="output">
    <vt:lpwstr>papaja::apa6_word</vt:lpwstr>
  </property>
  <property fmtid="{D5CDD505-2E9C-101B-9397-08002B2CF9AE}" pid="14" name="shorttitle">
    <vt:lpwstr>asymmetry</vt:lpwstr>
  </property>
  <property fmtid="{D5CDD505-2E9C-101B-9397-08002B2CF9AE}" pid="15" name="tablelist">
    <vt:lpwstr>no</vt:lpwstr>
  </property>
  <property fmtid="{D5CDD505-2E9C-101B-9397-08002B2CF9AE}" pid="16" name="wordcount">
    <vt:lpwstr>4162</vt:lpwstr>
  </property>
</Properties>
</file>