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Matthre Goldreich</w:t>
      </w:r>
      <w:r>
        <w:rPr>
          <w:vertAlign w:val="superscript"/>
        </w:rPr>
        <w:t xml:space="preserve">1</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Detection in Context - pre-registration document</w:t>
      </w:r>
    </w:p>
    <w:bookmarkStart w:id="21" w:name="motivation"/>
    <w:p>
      <w:pPr>
        <w:pStyle w:val="berschrift1"/>
      </w:pPr>
      <w:r>
        <w:rPr>
          <w:rStyle w:val="SectionNumber"/>
        </w:rPr>
        <w:t xml:space="preserve">1</w:t>
      </w:r>
      <w:r>
        <w:tab/>
      </w:r>
      <w:r>
        <w:t xml:space="preserve">Motivation</w:t>
      </w:r>
    </w:p>
    <w:p>
      <w:pPr>
        <w:pStyle w:val="FirstParagraph"/>
      </w:pPr>
      <w:r>
        <w:t xml:space="preserve">Perceptual decisions are influenced not only by incoming sensory input, but also by our own expectations and motivations. For example, stimuli that are predictable in a given context appear sharper</w:t>
      </w:r>
      <w:r>
        <w:t xml:space="preserve"> </w:t>
      </w:r>
      <w:r>
        <w:t xml:space="preserve">(Rossel, Peyrin, Roux-Sibilon, &amp; Kauffmann, 2022)</w:t>
      </w:r>
      <w:r>
        <w:t xml:space="preserve"> </w:t>
      </w:r>
      <w:r>
        <w:t xml:space="preserve">and are more likely to be perceived when presented at near-threshold intensity</w:t>
      </w:r>
      <w:r>
        <w:t xml:space="preserve"> </w:t>
      </w:r>
      <w:r>
        <w:t xml:space="preserve">(Reznik, Henkin, Schadel, &amp; Mukamel, 2014; Yon, Zainzinger, Lange, Eimer, &amp; Press, 2020)</w:t>
      </w:r>
      <w:r>
        <w:t xml:space="preserve">. Apparently opposite effects are also sometimes observed, whereby expected events are perceived less readily than their unexpected counterparts</w:t>
      </w:r>
      <w:r>
        <w:t xml:space="preserve"> </w:t>
      </w:r>
      <w:r>
        <w:t xml:space="preserve">(Press, Kok, &amp; Yon, 2020)</w:t>
      </w:r>
      <w:r>
        <w:t xml:space="preserve">. There are many unanswered questions concerning what</w:t>
      </w:r>
      <w:r>
        <w:t xml:space="preserve"> </w:t>
      </w:r>
      <w:r>
        <w:t xml:space="preserve">contributes to the influence of expectations on perceptual experience. One likely contributing factor concerns whether subjects belive (explicitly or implicitly) that they will</w:t>
      </w:r>
      <w:r>
        <w:t xml:space="preserve"> </w:t>
      </w:r>
      <w:r>
        <w:t xml:space="preserve">detect expected or unexpected events more readily, and whether they are able to utilize these beliefs in guiding their information gathering behaviour.</w:t>
      </w:r>
    </w:p>
    <w:p>
      <w:pPr>
        <w:pStyle w:val="Textkrper"/>
      </w:pPr>
      <w:r>
        <w:t xml:space="preserve">We can understand this by probing decisions about the absence of objects and stimuli. We often rely on the absence of positive evidence inferring absence; instead of directly perceiving absence, we need to infer that we would have perceived the object if it were present</w:t>
      </w:r>
      <w:r>
        <w:t xml:space="preserve"> </w:t>
      </w:r>
      <w:r>
        <w:t xml:space="preserve">(Mazor, 2021; Mazor &amp; Fleming, 2022)</w:t>
      </w:r>
      <w:r>
        <w:t xml:space="preserve">. The roles of counterfactual reasoning and self-knowledge in decisions about absence make it a unique opportunity to ask what aspects of their perception and cognition do subjects represent in their mental self-models, and what aspects are misrepresented, or not represented at all. Here we focus on the effects of expectation on perception. We will contrast near threshold detection performance in contexts that are either matching or non-matching with the target stimulus, and quantify the effects of expectation on detection, and more importantly, on the ability to efficiently infer absence. We will focus on the novel question of whether absence is more efficiently detected in a context congruent or incongruent to the presence of that stimulus.</w:t>
      </w:r>
    </w:p>
    <w:bookmarkEnd w:id="21"/>
    <w:bookmarkStart w:id="29" w:name="methods"/>
    <w:p>
      <w:pPr>
        <w:pStyle w:val="berschrift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rPr>
          <w:rStyle w:val="SectionNumber"/>
        </w:rPr>
        <w:t xml:space="preserve">2.1</w:t>
      </w:r>
      <w:r>
        <w:tab/>
      </w: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 100 included participants (after applying our pre-registered exclusion criteria). The entire experiment will take 11 minutes to complete. Participants will be paid £1.38 for their participation, equivalent to an hourly wage of £7.50.</w:t>
      </w:r>
    </w:p>
    <w:bookmarkEnd w:id="22"/>
    <w:bookmarkStart w:id="25" w:name="procedure"/>
    <w:p>
      <w:pPr>
        <w:pStyle w:val="berschrift2"/>
      </w:pPr>
      <w:r>
        <w:rPr>
          <w:rStyle w:val="SectionNumber"/>
        </w:rPr>
        <w:t xml:space="preserve">2.2</w:t>
      </w:r>
      <w:r>
        <w:tab/>
      </w:r>
      <w:r>
        <w:t xml:space="preserve">Procedure</w:t>
      </w:r>
    </w:p>
    <w:p>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will display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will be set to</w:t>
      </w:r>
      <w:r>
        <w:t xml:space="preserve"> </w:t>
      </w:r>
      <m:oMath>
        <m:r>
          <m:t>0</m:t>
        </m:r>
      </m:oMath>
      <w:r>
        <w:t xml:space="preserve">, such that they grayscale values of all pixels will be randomly shuffled. On target-present trials, the probability</w:t>
      </w:r>
      <w:r>
        <w:t xml:space="preserve"> </w:t>
      </w:r>
      <m:oMath>
        <m:r>
          <m:t>p</m:t>
        </m:r>
      </m:oMath>
      <w:r>
        <w:t xml:space="preserve"> </w:t>
      </w:r>
      <w:r>
        <w:t xml:space="preserve">will slowly increase as the trial progresses, according to the formula</w:t>
      </w:r>
      <w:r>
        <w:t xml:space="preserve"> </w:t>
      </w:r>
      <m:oMath>
        <m:r>
          <m:t>p</m:t>
        </m:r>
        <m:r>
          <m:rPr>
            <m:sty m:val="p"/>
          </m:rPr>
          <m:t>=</m:t>
        </m:r>
        <m:f>
          <m:fPr>
            <m:type m:val="bar"/>
          </m:fPr>
          <m:num>
            <m:r>
              <m:t>v</m:t>
            </m:r>
          </m:num>
          <m:den>
            <m:r>
              <m:t>1</m:t>
            </m:r>
            <m:r>
              <m:rPr>
                <m:sty m:val="p"/>
              </m:rPr>
              <m:t>+</m:t>
            </m:r>
            <m:sSup>
              <m:e>
                <m:r>
                  <m:t>e</m:t>
                </m:r>
              </m:e>
              <m:sup>
                <m:r>
                  <m:rPr>
                    <m:sty m:val="p"/>
                  </m:rPr>
                  <m:t>−</m:t>
                </m:r>
                <m:r>
                  <m:t>0.05</m:t>
                </m:r>
                <m:r>
                  <m:rPr>
                    <m:sty m:val="p"/>
                  </m:rPr>
                  <m:t>(</m:t>
                </m:r>
                <m:r>
                  <m:t>n</m:t>
                </m:r>
                <m:r>
                  <m:rPr>
                    <m:sty m:val="p"/>
                  </m:rPr>
                  <m:t>−</m:t>
                </m:r>
                <m:r>
                  <m:t>40</m:t>
                </m:r>
                <m:r>
                  <m:rPr>
                    <m:sty m:val="p"/>
                  </m:rPr>
                  <m:t>)</m:t>
                </m:r>
                <m:r>
                  <m:rPr>
                    <m:sty m:val="p"/>
                  </m:rPr>
                  <m:t>)</m:t>
                </m:r>
                <m:r>
                  <m:rPr>
                    <m:sty m:val="p"/>
                  </m:rPr>
                  <m:t>)</m:t>
                </m:r>
              </m:sup>
            </m:sSup>
          </m:den>
        </m:f>
      </m:oMath>
      <w:r>
        <w:t xml:space="preserve"> </w:t>
      </w:r>
      <w:r>
        <w:t xml:space="preserve">with</w:t>
      </w:r>
      <w:r>
        <w:t xml:space="preserve"> </w:t>
      </w:r>
      <m:oMath>
        <m:r>
          <m:t>n</m:t>
        </m:r>
      </m:oMath>
      <w:r>
        <w:t xml:space="preserve"> </w:t>
      </w:r>
      <w:r>
        <w:t xml:space="preserve">representing the frame number, and</w:t>
      </w:r>
      <w:r>
        <w:t xml:space="preserve"> </w:t>
      </w:r>
      <m:oMath>
        <m:r>
          <m:t>v</m:t>
        </m:r>
      </m:oMath>
      <w:r>
        <w:t xml:space="preserve"> </w:t>
      </w:r>
      <w:r>
        <w:t xml:space="preserve">the maximum visibility level (see Fig.</w:t>
      </w:r>
      <w:r>
        <w:t xml:space="preserve"> </w:t>
      </w:r>
      <w:r>
        <w:t xml:space="preserve">1</w:t>
      </w:r>
      <w:r>
        <w:t xml:space="preserve">).</w:t>
      </w:r>
      <w:r>
        <w:t xml:space="preserve"> </w:t>
      </w:r>
      <m:oMath>
        <m:r>
          <m:t>v</m:t>
        </m:r>
      </m:oMath>
      <w:r>
        <w:t xml:space="preserve"> </w:t>
      </w:r>
      <w:r>
        <w:t xml:space="preserve">will be calibrated online to achieve performance levels of around 80%, following a 1-up-3-down procedure, starting at</w:t>
      </w:r>
      <w:r>
        <w:t xml:space="preserve"> </w:t>
      </w:r>
      <m:oMath>
        <m:r>
          <m:t>v</m:t>
        </m:r>
        <m:r>
          <m:rPr>
            <m:sty m:val="p"/>
          </m:rPr>
          <m:t>=</m:t>
        </m:r>
        <m:r>
          <m:t>0.35</m:t>
        </m:r>
      </m:oMath>
      <w:r>
        <w:t xml:space="preserve"> </w:t>
      </w:r>
      <w:r>
        <w:t xml:space="preserve">and following a multiplicative set size of</w:t>
      </w:r>
      <w:r>
        <w:t xml:space="preserve"> </w:t>
      </w:r>
      <m:oMath>
        <m:r>
          <m:t>0.9</m:t>
        </m:r>
      </m:oMath>
      <w:r>
        <w:t xml:space="preserve">, which will move closer to 1 following each change direction in the calibration process. Responses will be delivered using the F and G keyboard keys, and response-mapping will be counterbalanced across subjects.</w:t>
      </w:r>
    </w:p>
    <w:p>
      <w:pPr>
        <w:pStyle w:val="CaptionedFigure"/>
      </w:pPr>
      <w:r>
        <w:drawing>
          <wp:inline>
            <wp:extent cx="5969000" cy="2897873"/>
            <wp:effectExtent b="0" l="0" r="0" t="0"/>
            <wp:docPr descr="Figure 1.   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 title="" id="1" name="Picture"/>
            <a:graphic>
              <a:graphicData uri="http://schemas.openxmlformats.org/drawingml/2006/picture">
                <pic:pic>
                  <pic:nvPicPr>
                    <pic:cNvPr descr="figures/design.png" id="0" name="Picture"/>
                    <pic:cNvPicPr>
                      <a:picLocks noChangeArrowheads="1" noChangeAspect="1"/>
                    </pic:cNvPicPr>
                  </pic:nvPicPr>
                  <pic:blipFill>
                    <a:blip r:embed="rId23"/>
                    <a:stretch>
                      <a:fillRect/>
                    </a:stretch>
                  </pic:blipFill>
                  <pic:spPr bwMode="auto">
                    <a:xfrm>
                      <a:off x="0" y="0"/>
                      <a:ext cx="5969000" cy="289787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w:t>
      </w:r>
    </w:p>
    <w:p>
      <w:pPr>
        <w:pStyle w:val="Textkrper"/>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Here, their task will be exactly the same, but the noise patch will be embedded in a congruent or incongruent context word. For example, when searching for the letter S, the context word CA_H (cash) is congruent but the context word FL_G (flag) is not (see Fig.</w:t>
      </w:r>
      <w:r>
        <w:t xml:space="preserve"> </w:t>
      </w:r>
      <w:r>
        <w:t xml:space="preserve">1</w:t>
      </w:r>
      <w:r>
        <w:t xml:space="preserve">, upper right panel). To make sure participants are primed with the correct reading of the context word, an image of its meaning will be presented for 500 ms following the fixation cross and prior to the presentation of the noise display.</w:t>
      </w:r>
    </w:p>
    <w:p>
      <w:pPr>
        <w:pStyle w:val="Textkrper"/>
      </w:pPr>
      <w:r>
        <w:t xml:space="preserve">The main part of the experiment will comprise four blocks of 16 trials. For approximately half of the participants, in blocks 1 and 2 the target letter will be S and in blocks 3 and 4 it will be A. The order of letters will be reversed for the other half. All context words will be presented twice: once when detecting the letter S and once when detecting the letter A. As a result, all context words will be presented both as congruent and as incongruent contexts for the target letter. Overall, there will be 32 context words: 16 where the missing letter is an A and 16 where it is an S. All words will be 4- or 5-letter nouns with S or A in one of the central positions (i.e., position 2 or 3 in 4-letter words and position 3 in 5-letter words).</w:t>
      </w:r>
    </w:p>
    <w:bookmarkStart w:id="24" w:name="randomization"/>
    <w:p>
      <w:pPr>
        <w:pStyle w:val="berschrift3"/>
      </w:pPr>
      <w:r>
        <w:rPr>
          <w:rStyle w:val="SectionNumber"/>
        </w:rPr>
        <w:t xml:space="preserve">2.2.1</w:t>
      </w:r>
      <w:r>
        <w:tab/>
      </w: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2018)</w:t>
      </w:r>
      <w:r>
        <w:t xml:space="preserve">.</w:t>
      </w:r>
    </w:p>
    <w:bookmarkEnd w:id="24"/>
    <w:bookmarkEnd w:id="25"/>
    <w:bookmarkStart w:id="28" w:name="data-analysis"/>
    <w:p>
      <w:pPr>
        <w:pStyle w:val="berschrift2"/>
      </w:pPr>
      <w:r>
        <w:rPr>
          <w:rStyle w:val="SectionNumber"/>
        </w:rPr>
        <w:t xml:space="preserve">2.3</w:t>
      </w:r>
      <w:r>
        <w:tab/>
      </w:r>
      <w:r>
        <w:t xml:space="preserve">Data analysis</w:t>
      </w:r>
    </w:p>
    <w:bookmarkStart w:id="26" w:name="rejection-criteria"/>
    <w:p>
      <w:pPr>
        <w:pStyle w:val="berschrift3"/>
      </w:pPr>
      <w:r>
        <w:rPr>
          <w:rStyle w:val="SectionNumber"/>
        </w:rPr>
        <w:t xml:space="preserve">2.3.1</w:t>
      </w:r>
      <w:r>
        <w:tab/>
      </w:r>
      <w:r>
        <w:t xml:space="preserve">Rejection criteria.</w:t>
      </w:r>
    </w:p>
    <w:p>
      <w:pPr>
        <w:pStyle w:val="FirstParagraph"/>
      </w:pPr>
      <w:r>
        <w:t xml:space="preserve">Participants will be excluded if their accuracy falls below 50%. We will also exclude participants for having extremely fast or slow reaction times in one or more of the tasks (below 100 milliseconds or above 5 seconds in more than 25% of the trials).</w:t>
      </w:r>
    </w:p>
    <w:p>
      <w:pPr>
        <w:pStyle w:val="Textkrper"/>
      </w:pPr>
      <w:r>
        <w:t xml:space="preserve">Trials with response time below 100 milliseconds or above 5 seconds will be excluded from the response-time analysis.</w:t>
      </w:r>
    </w:p>
    <w:bookmarkEnd w:id="26"/>
    <w:bookmarkStart w:id="27" w:name="hypotheses-and-analysis-plan"/>
    <w:p>
      <w:pPr>
        <w:pStyle w:val="berschrift3"/>
      </w:pPr>
      <w:r>
        <w:rPr>
          <w:rStyle w:val="SectionNumber"/>
        </w:rPr>
        <w:t xml:space="preserve">2.3.2</w:t>
      </w:r>
      <w:r>
        <w:tab/>
      </w:r>
      <w:r>
        <w:t xml:space="preserve">Hypotheses and analysis plan.</w:t>
      </w:r>
    </w:p>
    <w:p>
      <w:pPr>
        <w:pStyle w:val="FirstParagraph"/>
      </w:pPr>
      <w:r>
        <w:t xml:space="preserve">This study is designed to test several hypotheses about the effects of expectation and context on visual detection, with a focus on the timing of decisions to terminate evidence accumulation in the absence of a target as a potential window into self-modeling and metacognitive knowledge about perception and attention.</w:t>
      </w:r>
    </w:p>
    <w:p>
      <w:pPr>
        <w:pStyle w:val="Textkrper"/>
      </w:pPr>
      <w:r>
        <w:t xml:space="preserve">Specifically, we plan to test the following hypotheses:</w:t>
      </w:r>
    </w:p>
    <w:p>
      <w:pPr>
        <w:pStyle w:val="Textkrper"/>
      </w:pPr>
      <w:r>
        <w:rPr>
          <w:iCs/>
          <w:i/>
        </w:rPr>
        <w:t xml:space="preserve">Hypothesis 1 (PRESENCE/ABSENCE RESPONSE TIME)</w:t>
      </w:r>
      <w:r>
        <w:t xml:space="preserve">: We will test the null hypothesis that response times are similar for target-absent and target-present responses, aiming to replicate the finding that decisions about the absence of a target are slower than decisions about its presence</w:t>
      </w:r>
      <w:r>
        <w:t xml:space="preserve"> </w:t>
      </w:r>
      <w:r>
        <w:t xml:space="preserve">(Mazor, Friston, &amp; Fleming, 2020; Mazor, Moran, &amp; Fleming, 2021)</w:t>
      </w:r>
      <w:r>
        <w:t xml:space="preserve">. This will be tested using a paired t-test on the median individual level-response times.</w:t>
      </w:r>
    </w:p>
    <w:p>
      <w:pPr>
        <w:pStyle w:val="Textkrper"/>
      </w:pPr>
      <w:r>
        <w:rPr>
          <w:iCs/>
          <w:i/>
        </w:rPr>
        <w:t xml:space="preserve">Hypothesis 2 (CONTEXT IN PRESENCE)</w:t>
      </w:r>
      <w:r>
        <w:t xml:space="preserve">: We will test the null hypothesis that target-present response times are similar when the context word matches or does not match the target letter. This will be tested using a paired t-test on the median individual level-response times .</w:t>
      </w:r>
    </w:p>
    <w:p>
      <w:pPr>
        <w:pStyle w:val="Textkrper"/>
      </w:pPr>
      <w:r>
        <w:rPr>
          <w:iCs/>
          <w:i/>
        </w:rPr>
        <w:t xml:space="preserve">Hypothesis 3 (CONTEXT IN ABSENCE)</w:t>
      </w:r>
      <w:r>
        <w:t xml:space="preserve">: We will test the null hypothesis that response times in target-absent responses are similar when the context word matches or does not match the target letter. This will be tested using a paired t-test on the median individual level-response times.</w:t>
      </w:r>
    </w:p>
    <w:p>
      <w:pPr>
        <w:pStyle w:val="Textkrper"/>
      </w:pPr>
      <w:r>
        <w:rPr>
          <w:iCs/>
          <w:i/>
        </w:rPr>
        <w:t xml:space="preserve">Hypothesis 4 (CONTEXT RESPONSE INTERACTION)</w:t>
      </w:r>
      <w:r>
        <w:t xml:space="preserve">: We will test the null hypothesis that the effect of context on reaction time is similar in target-absent and target-present responses. This will be tested by performing a group-level t-test on the subject-level contrast</w:t>
      </w:r>
      <w:r>
        <w:t xml:space="preserve"> </w:t>
      </w:r>
      <m:oMath>
        <m:r>
          <m:rPr>
            <m:sty m:val="p"/>
          </m:rPr>
          <m:t>(</m:t>
        </m:r>
        <m:r>
          <m:t>m</m:t>
        </m:r>
        <m:r>
          <m:t>e</m:t>
        </m:r>
        <m:r>
          <m:t>d</m:t>
        </m:r>
        <m:r>
          <m:t>i</m:t>
        </m:r>
        <m:r>
          <m:t>a</m:t>
        </m:r>
        <m:r>
          <m:t>n</m:t>
        </m:r>
        <m:r>
          <m:rPr>
            <m:sty m:val="p"/>
          </m:rPr>
          <m:t>(</m:t>
        </m:r>
        <m:r>
          <m:t>R</m:t>
        </m:r>
        <m:sSub>
          <m:e>
            <m:r>
              <m:t>T</m:t>
            </m:r>
          </m:e>
          <m:sub>
            <m:r>
              <m:t>P</m:t>
            </m:r>
            <m:r>
              <m:rPr>
                <m:sty m:val="p"/>
              </m:rPr>
              <m:t>,</m:t>
            </m:r>
            <m:r>
              <m:t>C</m:t>
            </m:r>
          </m:sub>
        </m:sSub>
        <m:r>
          <m:rPr>
            <m:sty m:val="p"/>
          </m:rPr>
          <m:t>)</m:t>
        </m:r>
        <m:r>
          <m:rPr>
            <m:sty m:val="p"/>
          </m:rPr>
          <m:t>−</m:t>
        </m:r>
        <m:r>
          <m:t>m</m:t>
        </m:r>
        <m:r>
          <m:t>e</m:t>
        </m:r>
        <m:r>
          <m:t>d</m:t>
        </m:r>
        <m:r>
          <m:t>i</m:t>
        </m:r>
        <m:r>
          <m:t>a</m:t>
        </m:r>
        <m:r>
          <m:t>n</m:t>
        </m:r>
        <m:r>
          <m:rPr>
            <m:sty m:val="p"/>
          </m:rPr>
          <m:t>(</m:t>
        </m:r>
        <m:r>
          <m:t>R</m:t>
        </m:r>
        <m:sSub>
          <m:e>
            <m:r>
              <m:t>T</m:t>
            </m:r>
          </m:e>
          <m:sub>
            <m:r>
              <m:t>P</m:t>
            </m:r>
            <m:r>
              <m:rPr>
                <m:sty m:val="p"/>
              </m:rPr>
              <m:t>,</m:t>
            </m:r>
            <m:r>
              <m:t>I</m:t>
            </m:r>
          </m:sub>
        </m:sSub>
        <m:r>
          <m:rPr>
            <m:sty m:val="p"/>
          </m:rPr>
          <m:t>)</m:t>
        </m:r>
        <m:r>
          <m:rPr>
            <m:sty m:val="p"/>
          </m:rPr>
          <m:t>)</m:t>
        </m:r>
        <m:r>
          <m:rPr>
            <m:sty m:val="p"/>
          </m:rPr>
          <m:t>−</m:t>
        </m:r>
        <m:r>
          <m:rPr>
            <m:sty m:val="p"/>
          </m:rPr>
          <m:t>(</m:t>
        </m:r>
        <m:r>
          <m:t>m</m:t>
        </m:r>
        <m:r>
          <m:t>e</m:t>
        </m:r>
        <m:r>
          <m:t>d</m:t>
        </m:r>
        <m:r>
          <m:t>i</m:t>
        </m:r>
        <m:r>
          <m:t>a</m:t>
        </m:r>
        <m:r>
          <m:t>n</m:t>
        </m:r>
        <m:r>
          <m:rPr>
            <m:sty m:val="p"/>
          </m:rPr>
          <m:t>(</m:t>
        </m:r>
        <m:r>
          <m:t>R</m:t>
        </m:r>
        <m:sSub>
          <m:e>
            <m:r>
              <m:t>T</m:t>
            </m:r>
          </m:e>
          <m:sub>
            <m:r>
              <m:t>A</m:t>
            </m:r>
            <m:r>
              <m:rPr>
                <m:sty m:val="p"/>
              </m:rPr>
              <m:t>,</m:t>
            </m:r>
            <m:r>
              <m:t>C</m:t>
            </m:r>
          </m:sub>
        </m:sSub>
        <m:r>
          <m:rPr>
            <m:sty m:val="p"/>
          </m:rPr>
          <m:t>)</m:t>
        </m:r>
        <m:r>
          <m:rPr>
            <m:sty m:val="p"/>
          </m:rPr>
          <m:t>−</m:t>
        </m:r>
        <m:r>
          <m:t>m</m:t>
        </m:r>
        <m:r>
          <m:t>e</m:t>
        </m:r>
        <m:r>
          <m:t>d</m:t>
        </m:r>
        <m:r>
          <m:t>i</m:t>
        </m:r>
        <m:r>
          <m:t>a</m:t>
        </m:r>
        <m:r>
          <m:t>n</m:t>
        </m:r>
        <m:r>
          <m:rPr>
            <m:sty m:val="p"/>
          </m:rPr>
          <m:t>(</m:t>
        </m:r>
        <m:r>
          <m:t>R</m:t>
        </m:r>
        <m:sSub>
          <m:e>
            <m:r>
              <m:t>T</m:t>
            </m:r>
          </m:e>
          <m:sub>
            <m:r>
              <m:t>A</m:t>
            </m:r>
            <m:r>
              <m:rPr>
                <m:sty m:val="p"/>
              </m:rPr>
              <m:t>,</m:t>
            </m:r>
            <m:r>
              <m:t>I</m:t>
            </m:r>
          </m:sub>
        </m:sSub>
        <m:r>
          <m:rPr>
            <m:sty m:val="p"/>
          </m:rPr>
          <m:t>)</m:t>
        </m:r>
        <m:r>
          <m:rPr>
            <m:sty m:val="p"/>
          </m:rPr>
          <m:t>)</m:t>
        </m:r>
      </m:oMath>
      <w:r>
        <w:t xml:space="preserve"> </w:t>
      </w:r>
      <w:r>
        <w:t xml:space="preserve">Where</w:t>
      </w:r>
      <w:r>
        <w:t xml:space="preserve"> </w:t>
      </w:r>
      <m:oMath>
        <m:r>
          <m:t>P</m:t>
        </m:r>
      </m:oMath>
      <w:r>
        <w:t xml:space="preserve">,</w:t>
      </w:r>
      <w:r>
        <w:t xml:space="preserve"> </w:t>
      </w:r>
      <m:oMath>
        <m:r>
          <m:t>A</m:t>
        </m:r>
      </m:oMath>
      <w:r>
        <w:t xml:space="preserve">,</w:t>
      </w:r>
      <w:r>
        <w:t xml:space="preserve"> </w:t>
      </w:r>
      <m:oMath>
        <m:r>
          <m:t>C</m:t>
        </m:r>
      </m:oMath>
      <w:r>
        <w:t xml:space="preserve"> </w:t>
      </w:r>
      <w:r>
        <w:t xml:space="preserve">and</w:t>
      </w:r>
      <w:r>
        <w:t xml:space="preserve"> </w:t>
      </w:r>
      <m:oMath>
        <m:r>
          <m:t>I</m:t>
        </m:r>
      </m:oMath>
      <w:r>
        <w:t xml:space="preserve"> </w:t>
      </w:r>
      <w:r>
        <w:t xml:space="preserve">stand for present, absent, congruent (matching) and incongruent (non-matching), respectively.</w:t>
      </w:r>
    </w:p>
    <w:p>
      <w:pPr>
        <w:pStyle w:val="Textkrper"/>
      </w:pPr>
      <w:r>
        <w:rPr>
          <w:iCs/>
          <w:i/>
        </w:rPr>
        <w:t xml:space="preserve">Hypothesis 5 (SENSITIVITY)</w:t>
      </w:r>
      <w:r>
        <w:t xml:space="preserve">: We will test the null hypothesis that sensitivity (measured as d’) is equal in matching and non-matching contexts. To allow the extraction of d’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6 (CRITERION)</w:t>
      </w:r>
      <w:r>
        <w:t xml:space="preserve">: We will test the null hypothesis that decision criterion (measured as c) is equal in matching and non-matching contexts. To allow the extraction of a decision criterion for participants who committed no false-alarms or misses, we will add 0.5 to miss, hit, false-alarm and correct rejection counts</w:t>
      </w:r>
      <w:r>
        <w:t xml:space="preserve"> </w:t>
      </w:r>
      <w:r>
        <w:t xml:space="preserve">(Snodgrass &amp; Corwin, 1988)</w:t>
      </w:r>
      <w:r>
        <w:t xml:space="preserve">.</w:t>
      </w:r>
    </w:p>
    <w:bookmarkEnd w:id="27"/>
    <w:bookmarkEnd w:id="28"/>
    <w:bookmarkEnd w:id="29"/>
    <w:bookmarkStart w:id="41" w:name="references"/>
    <w:p>
      <w:pPr>
        <w:pStyle w:val="berschrift1"/>
      </w:pPr>
      <w:r>
        <w:rPr>
          <w:rStyle w:val="SectionNumber"/>
        </w:rPr>
        <w:t xml:space="preserve">3</w:t>
      </w:r>
      <w:r>
        <w:tab/>
      </w:r>
      <w:r>
        <w:t xml:space="preserve">References</w:t>
      </w:r>
    </w:p>
    <w:bookmarkStart w:id="40" w:name="refs"/>
    <w:bookmarkStart w:id="30" w:name="ref-mazor2021inference"/>
    <w:p>
      <w:pPr>
        <w:pStyle w:val="Literaturverzeichnis"/>
      </w:pPr>
      <w:r>
        <w:t xml:space="preserve">Mazor, M. (2021). Inference about absence as a window into the mental self-model.</w:t>
      </w:r>
    </w:p>
    <w:bookmarkEnd w:id="30"/>
    <w:bookmarkStart w:id="31"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31"/>
    <w:bookmarkStart w:id="32" w:name="ref-mazor2020distinct"/>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32"/>
    <w:bookmarkStart w:id="33"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33"/>
    <w:bookmarkStart w:id="34"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34"/>
    <w:bookmarkStart w:id="35" w:name="ref-press2020perceptual"/>
    <w:p>
      <w:pPr>
        <w:pStyle w:val="Literaturverzeichnis"/>
      </w:pPr>
      <w:r>
        <w:t xml:space="preserve">Press, C., Kok, P., &amp; Yon, D. (2020). The perceptual prediction paradox.</w:t>
      </w:r>
      <w:r>
        <w:t xml:space="preserve"> </w:t>
      </w:r>
      <w:r>
        <w:rPr>
          <w:iCs/>
          <w:i/>
        </w:rPr>
        <w:t xml:space="preserve">Trends in Cognitive Sciences</w:t>
      </w:r>
      <w:r>
        <w:t xml:space="preserve">,</w:t>
      </w:r>
      <w:r>
        <w:t xml:space="preserve"> </w:t>
      </w:r>
      <w:r>
        <w:rPr>
          <w:iCs/>
          <w:i/>
        </w:rPr>
        <w:t xml:space="preserve">24</w:t>
      </w:r>
      <w:r>
        <w:t xml:space="preserve">(1), 13–24.</w:t>
      </w:r>
    </w:p>
    <w:bookmarkEnd w:id="35"/>
    <w:bookmarkStart w:id="36" w:name="ref-reznik2014lateralized"/>
    <w:p>
      <w:pPr>
        <w:pStyle w:val="Literaturverzeichnis"/>
      </w:pPr>
      <w:r>
        <w:t xml:space="preserve">Reznik, D., Henkin, Y., Schadel, N., &amp; Mukamel, R. (2014). Lateralized enhancement of auditory cortex activity and increased sensitivity to self-generated sounds.</w:t>
      </w:r>
      <w:r>
        <w:t xml:space="preserve"> </w:t>
      </w:r>
      <w:r>
        <w:rPr>
          <w:iCs/>
          <w:i/>
        </w:rPr>
        <w:t xml:space="preserve">Nature Communications</w:t>
      </w:r>
      <w:r>
        <w:t xml:space="preserve">,</w:t>
      </w:r>
      <w:r>
        <w:t xml:space="preserve"> </w:t>
      </w:r>
      <w:r>
        <w:rPr>
          <w:iCs/>
          <w:i/>
        </w:rPr>
        <w:t xml:space="preserve">5</w:t>
      </w:r>
      <w:r>
        <w:t xml:space="preserve">(1), 1–11.</w:t>
      </w:r>
    </w:p>
    <w:bookmarkEnd w:id="36"/>
    <w:bookmarkStart w:id="37" w:name="ref-rossel2022makes"/>
    <w:p>
      <w:pPr>
        <w:pStyle w:val="Literaturverzeichnis"/>
      </w:pPr>
      <w:r>
        <w:t xml:space="preserve">Rossel, P., Peyrin, C., Roux-Sibilon, A., &amp; Kauffmann, L. (2022). It makes sense, so i see it better! Contextual information about the visual environment increases its perceived sharpness. In</w:t>
      </w:r>
      <w:r>
        <w:t xml:space="preserve"> </w:t>
      </w:r>
      <w:r>
        <w:rPr>
          <w:iCs/>
          <w:i/>
        </w:rPr>
        <w:t xml:space="preserve">Journal of Experimental Psychology: Human Perception and Performance</w:t>
      </w:r>
      <w:r>
        <w:t xml:space="preserve">. American Psychological Association.</w:t>
      </w:r>
    </w:p>
    <w:bookmarkEnd w:id="37"/>
    <w:bookmarkStart w:id="38" w:name="ref-snodgrass1988pragmatics"/>
    <w:p>
      <w:pPr>
        <w:pStyle w:val="Literaturverzeichnis"/>
      </w:pPr>
      <w:r>
        <w:t xml:space="preserve">Snodgrass, J. G., &amp; Corwin, J. (1988). Pragmatics of measuring recognition memory: Applications to dementia and amnesia.</w:t>
      </w:r>
      <w:r>
        <w:t xml:space="preserve"> </w:t>
      </w:r>
      <w:r>
        <w:rPr>
          <w:iCs/>
          <w:i/>
        </w:rPr>
        <w:t xml:space="preserve">Journal of Experimental Psychology: General</w:t>
      </w:r>
      <w:r>
        <w:t xml:space="preserve">,</w:t>
      </w:r>
      <w:r>
        <w:t xml:space="preserve"> </w:t>
      </w:r>
      <w:r>
        <w:rPr>
          <w:iCs/>
          <w:i/>
        </w:rPr>
        <w:t xml:space="preserve">117</w:t>
      </w:r>
      <w:r>
        <w:t xml:space="preserve">(1), 34.</w:t>
      </w:r>
    </w:p>
    <w:bookmarkEnd w:id="38"/>
    <w:bookmarkStart w:id="39" w:name="ref-yon2020action"/>
    <w:p>
      <w:pPr>
        <w:pStyle w:val="Literaturverzeichnis"/>
      </w:pPr>
      <w:r>
        <w:t xml:space="preserve">Yon, D., Zainzinger, V., Lange, F. P. de, Eimer, M., &amp; Press, C. (2020). Action biases perceptual decisions toward expected outcomes.</w:t>
      </w:r>
      <w:r>
        <w:t xml:space="preserve"> </w:t>
      </w:r>
      <w:r>
        <w:rPr>
          <w:iCs/>
          <w:i/>
        </w:rPr>
        <w:t xml:space="preserve">Journal of Experimental Psychology: General</w:t>
      </w:r>
      <w:r>
        <w:t xml:space="preserve">.</w:t>
      </w:r>
    </w:p>
    <w:bookmarkEnd w:id="39"/>
    <w:bookmarkEnd w:id="40"/>
    <w:bookmarkEnd w:id="4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 PRE-REGISTRATION DOCUMENT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 pre-registration document</dc:title>
  <dc:creator/>
  <cp:keywords/>
  <dcterms:created xsi:type="dcterms:W3CDTF">2022-02-14T15:24:47Z</dcterms:created>
  <dcterms:modified xsi:type="dcterms:W3CDTF">2022-02-14T15:24:47Z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C:\Users\mmazor\Documents\R\R-4.0.5\library\papaja\rmd\apa6.csl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Detection in Context - pre-registration document</vt:lpwstr>
  </property>
  <property fmtid="{D5CDD505-2E9C-101B-9397-08002B2CF9AE}" pid="15" name="tablelist">
    <vt:lpwstr>no</vt:lpwstr>
  </property>
  <property fmtid="{D5CDD505-2E9C-101B-9397-08002B2CF9AE}" pid="16" name="wordcount">
    <vt:lpwstr>X</vt:lpwstr>
  </property>
</Properties>
</file>