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seeing</w:t>
      </w:r>
      <w:r>
        <w:t xml:space="preserve"> </w:t>
      </w:r>
      <w:r>
        <w:t xml:space="preserve">and</w:t>
      </w:r>
      <w:r>
        <w:t xml:space="preserve"> </w:t>
      </w:r>
      <w:r>
        <w:t xml:space="preserve">unseeing</w:t>
      </w:r>
      <w:r>
        <w:t xml:space="preserve"> </w:t>
      </w:r>
      <w:r>
        <w:t xml:space="preserve">-</w:t>
      </w:r>
      <w:r>
        <w:t xml:space="preserve"> </w:t>
      </w:r>
      <w:r>
        <w:t xml:space="preserve">Exp.</w:t>
      </w:r>
      <w:r>
        <w:t xml:space="preserve"> </w:t>
      </w:r>
      <w:r>
        <w:t xml:space="preserve">7</w:t>
      </w:r>
      <w:r>
        <w:t xml:space="preserve"> </w:t>
      </w:r>
      <w:r>
        <w:t xml:space="preserve">pre-registration</w:t>
      </w:r>
      <w:r>
        <w:t xml:space="preserve"> </w:t>
      </w:r>
      <w:r>
        <w:t xml:space="preserve">document</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seeing and unseeing - Exp. 7 pre-registration document</w:t>
      </w:r>
    </w:p>
    <w:bookmarkStart w:id="21" w:name="motivation"/>
    <w:p>
      <w:pPr>
        <w:pStyle w:val="berschrift1"/>
      </w:pPr>
      <w:r>
        <w:t xml:space="preserve">Motivation</w:t>
      </w:r>
    </w:p>
    <w:p>
      <w:pPr>
        <w:pStyle w:val="FirstParagraph"/>
      </w:pPr>
      <w:r>
        <w:t xml:space="preserve">In three online experiments, we replicated previously observed effects of motivation on perceptual decisions</w:t>
      </w:r>
      <w:r>
        <w:t xml:space="preserve"> </w:t>
      </w:r>
      <w:r>
        <w:t xml:space="preserve">(Balcetis, Dunning, &amp; Granot, 2012; Leong, Dziembaj, &amp; D’Esposito, 2021; Leong, Hughes, Wang, &amp; Zaki,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In Exp. 4-6 we examined the generalizability of these loss effects to a detection setting, where decisions are made not about the identity of a stimulus, but about stimulus presence. We compared motivation-neutral settings to settings where stimulus presence or absence are associated with point loss. To our surprise, we found no significant differences. A potential limitation of Exp. 4-6 is that difficulty was dynamically staircased throughout test blocks, by adapting the stimulus presentation time in a 2-down 1-up fashion. This staircasing may have masked bias effects, since the loss mainpulation is expected to have an effect on accuracy via changes to the decision criterion. Experiment 7 will be similar to Exp. 6, without the staircasing procedure.</w:t>
      </w:r>
    </w:p>
    <w:bookmarkEnd w:id="21"/>
    <w:bookmarkStart w:id="33"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study was approved by the Research Ethics Committee of Birkbeck, University of London (study ID number 2122050). No adverse effects for participants from participation in the study are expected. Participants will give consent for taking part in the study which can be withdrawn at any time.</w:t>
      </w:r>
    </w:p>
    <w:p>
      <w:pPr>
        <w:pStyle w:val="Textkrper"/>
      </w:pPr>
      <w:r>
        <w:t xml:space="preserve">Participants will be recruited from the Prolific database. The criteria for recruitment will be a Prolific approval rate of 95%, English as their first language, and an age between 18 and 60. The study will take participants about 15 minutes of their time. Participants will be paid 7.5 pounds per hour. We will double the payment of the top-performing 30% of our participants, and triple the payment of the top performing 5%. Data collection once 100 participants meet our inclusion criteria.</w:t>
      </w:r>
    </w:p>
    <w:bookmarkEnd w:id="22"/>
    <w:bookmarkStart w:id="27" w:name="procedure"/>
    <w:p>
      <w:pPr>
        <w:pStyle w:val="berschrift2"/>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detection task, participants will report whether a noisy stimulus contained a vertical grating, or not. At the beginning of the experiment, participants will be given instructions and their understanding will be checked by a multiple-choice question. Then, participants will be presented with a practice block, which will be repeated until accuracy on the task reaches 75%. The practice round will then be followed by the main part of the experiment, comprising six blocks of 28 trials. At the beginning of each trial a fixation cross will appear on the screen for 500-1000 milliseconds, followed by three grayscale images: a forward mask (presented for 50 ms), the target image (presentation for 250 ms), and a backward mask (presented until a decision is made). The forward and backward masks will comprise black and white concentric circles. The target image will be a noisy visual grating: 200x200 pixels, where 93% of the pixels show random grayscale values, and the remaining 7% are sampled from a vertical grating (frequency: 44 pixels, phase: random). Participants’ task will be to judge whether a grating was present or absent. They will be asked to indicate their decision using the J and F keys on the keyboard, counterbalanced across participants. The next trial will not begin until participants press one of these keys to indicate their decision.</w:t>
      </w:r>
    </w:p>
    <w:p>
      <w:pPr>
        <w:pStyle w:val="Textkrper"/>
      </w:pPr>
      <w:r>
        <w:t xml:space="preserve">In addition to a base payment, participants will be told that they can accumulate points in the task, and that these points will determine whether or not they get a bonus payment. Specifically, that we will double the payment of the top 30%, and triple the payment of the top 5% participants.</w:t>
      </w:r>
    </w:p>
    <w:p>
      <w:pPr>
        <w:pStyle w:val="Textkrper"/>
      </w:pPr>
      <w:r>
        <w:t xml:space="preserve">In all blocks, participants will be told that correct responses award them with 10 points. In addition, on two Presence-loss blocks, stimulus presence will be associated with a loss of 12 points, and on two Absence-loss blocks, stimulus absence will be associated with a loss of 12 points. Two neutral blocks will not include a loss manipulation. The order of the six blocks will be randomized, with the constraint that the two blocks of each condition are always be presented consequently.</w:t>
      </w:r>
    </w:p>
    <w:p>
      <w:pPr>
        <w:pStyle w:val="Textkrper"/>
      </w:pPr>
      <w:r>
        <w:t xml:space="preserve">Importantly, in all blocks participants will be motivated to make accurate judgments regarding the content of the presented image, but on some blocks stimulus presence (regardless of their decision) will be associated with a loss of points, while on others stimulus absence will be associated with a loss of points. Two multiple-choice questions will be used to make sure participants understand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target image is a Stripes image and J when it is a Noise image</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I lose points whenever…</w:t>
      </w:r>
      <w:r>
        <w:t xml:space="preserve">”</w:t>
      </w:r>
      <w:r>
        <w:t xml:space="preserve"> </w:t>
      </w:r>
      <w:r>
        <w:t xml:space="preserve">correct answer:</w:t>
      </w:r>
      <w:r>
        <w:t xml:space="preserve"> </w:t>
      </w:r>
      <w:r>
        <w:t xml:space="preserve">“</w:t>
      </w:r>
      <w:r>
        <w:t xml:space="preserve">the target image is a Stripes image, and regardless of whether I press J of F.</w:t>
      </w:r>
      <w:r>
        <w:t xml:space="preserve">”</w:t>
      </w:r>
      <w:r>
        <w:t xml:space="preserve"> </w:t>
      </w:r>
      <w:r>
        <w:t xml:space="preserve">and not</w:t>
      </w:r>
      <w:r>
        <w:t xml:space="preserve"> </w:t>
      </w:r>
      <w:r>
        <w:t xml:space="preserve">“</w:t>
      </w:r>
      <w:r>
        <w:t xml:space="preserve">the target image is a Stripes image and I press J</w:t>
      </w:r>
      <w:r>
        <w:t xml:space="preserve">”</w:t>
      </w:r>
      <w:r>
        <w:t xml:space="preserve">). Neutral blocks will be preceded by the response mapping comprehension question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target image is a Stripes image and J when it is a Noise image</w:t>
      </w:r>
      <w:r>
        <w:t xml:space="preserve">”</w:t>
      </w:r>
      <w:r>
        <w:t xml:space="preserve">). An additional question (</w:t>
      </w:r>
      <w:r>
        <w:t xml:space="preserve">“</w:t>
      </w:r>
      <w:r>
        <w:t xml:space="preserve">In addition to getting 10 points for accurate responses, in this block I lose points whenever…</w:t>
      </w:r>
      <w:r>
        <w:t xml:space="preserve">”</w:t>
      </w:r>
      <w:r>
        <w:t xml:space="preserve">, correct response:</w:t>
      </w:r>
      <w:r>
        <w:t xml:space="preserve"> </w:t>
      </w:r>
      <w:r>
        <w:t xml:space="preserve">“</w:t>
      </w:r>
      <w:r>
        <w:t xml:space="preserve">I never lose points in this block.</w:t>
      </w:r>
      <w:r>
        <w:t xml:space="preserve">”</w:t>
      </w:r>
      <w:r>
        <w:t xml:space="preserve">) will be presented only to those participants for which this is not the first experimental condition. In the end of the experiments, participants’ understanding of the task instructions will be further probed with an open-ended comprehension check (</w:t>
      </w:r>
      <w:r>
        <w:t xml:space="preserve">“</w:t>
      </w:r>
      <w:r>
        <w:t xml:space="preserve">We are interested to know if you had any strategy that you used to maximize your point count. Don’t worry - this will not affect your bonus payment!</w:t>
      </w:r>
      <w:r>
        <w:t xml:space="preserve">”</w:t>
      </w:r>
      <w:r>
        <w:t xml:space="preserve">).</w:t>
      </w:r>
    </w:p>
    <w:p>
      <w:pPr>
        <w:pStyle w:val="Textkrper"/>
      </w:pPr>
      <w:r>
        <w:t xml:space="preserve">Upon completion of the main part of the experiment, participants will complete the white bear suppression inventory</w:t>
      </w:r>
      <w:r>
        <w:t xml:space="preserve"> </w:t>
      </w:r>
      <w:r>
        <w:t xml:space="preserve">(Wegner &amp; Zanakos, 1994)</w:t>
      </w:r>
      <w:r>
        <w:t xml:space="preserve">.</w:t>
      </w:r>
    </w:p>
    <w:p>
      <w:pPr>
        <w:pStyle w:val="CaptionedFigure"/>
      </w:pPr>
      <w:r>
        <w:drawing>
          <wp:inline>
            <wp:extent cx="5367130" cy="2902226"/>
            <wp:effectExtent b="0" l="0" r="0" t="0"/>
            <wp:docPr descr="Figure 1.  Experimental design.Top left: Trial structure. The target image’s presentation time will be calibrated to achieve 70% accuracy. Top right: incentive structure on different experimental blocks. Bottom: Overall experiment structure." title="" id="24" name="Picture"/>
            <a:graphic>
              <a:graphicData uri="http://schemas.openxmlformats.org/drawingml/2006/picture">
                <pic:pic>
                  <pic:nvPicPr>
                    <pic:cNvPr descr="figures/design7c.png" id="25" name="Picture"/>
                    <pic:cNvPicPr>
                      <a:picLocks noChangeArrowheads="1" noChangeAspect="1"/>
                    </pic:cNvPicPr>
                  </pic:nvPicPr>
                  <pic:blipFill>
                    <a:blip r:embed="rId23"/>
                    <a:stretch>
                      <a:fillRect/>
                    </a:stretch>
                  </pic:blipFill>
                  <pic:spPr bwMode="auto">
                    <a:xfrm>
                      <a:off x="0" y="0"/>
                      <a:ext cx="5367130" cy="2902226"/>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design.Top left: Trial structure. The target image’s presentation time will be calibrated to achieve 70% accuracy. Top right: incentive structure on different experimental blocks. Bottom: Overall experiment structure.</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2"/>
      </w:pPr>
      <w:r>
        <w:t xml:space="preserve">Rejection criteria</w:t>
      </w:r>
    </w:p>
    <w:p>
      <w:pPr>
        <w:pStyle w:val="FirstParagraph"/>
      </w:pPr>
      <w:r>
        <w:t xml:space="preserve">Participants will be excluded if their accuracy falls below 50% in one or more experimental conditions (neutral, signal-loss, noise-loss), and for needing four or more repetitions of block instructions before providing a correct response to one or more of the comprehension questions. We will also exclude participants for having extremely fast or slow reaction times in one or more of the tasks (below 100 milliseconds or above 5 seconds in more than 25% of the trials). Trials with response time below 100 milliseconds or above 5 seconds, as well as error trials, will be excluded from the response-time analysis.</w:t>
      </w:r>
    </w:p>
    <w:bookmarkEnd w:id="28"/>
    <w:bookmarkStart w:id="32" w:name="data-analysis"/>
    <w:p>
      <w:pPr>
        <w:pStyle w:val="berschrift2"/>
      </w:pPr>
      <w:r>
        <w:t xml:space="preserve">Data analysis</w:t>
      </w:r>
    </w:p>
    <w:p>
      <w:pPr>
        <w:pStyle w:val="FirstParagraph"/>
      </w:pPr>
      <w:r>
        <w:t xml:space="preserve">This study is designed to test several hypotheses regarding the effect of motivation on perception, with a focus on perceptual decisions and response time.</w:t>
      </w:r>
      <w:r>
        <w:t xml:space="preserve"> </w:t>
      </w:r>
      <w:r>
        <w:t xml:space="preserve">Specifically, we plan to test the following hypotheses:</w:t>
      </w:r>
    </w:p>
    <w:p>
      <w:pPr>
        <w:pStyle w:val="Textkrper"/>
      </w:pPr>
      <w:r>
        <w:rPr>
          <w:iCs/>
          <w:i/>
        </w:rPr>
        <w:t xml:space="preserve">Hypothesis 1 (PRESENCE LOSS EFFECT ON DECISION)</w:t>
      </w:r>
      <w:r>
        <w:t xml:space="preserve">: We will test the null hypothesis that the proportion of</w:t>
      </w:r>
      <w:r>
        <w:t xml:space="preserve"> </w:t>
      </w:r>
      <w:r>
        <w:t xml:space="preserve">‘</w:t>
      </w:r>
      <w:r>
        <w:t xml:space="preserve">target-present</w:t>
      </w:r>
      <w:r>
        <w:t xml:space="preserve">’</w:t>
      </w:r>
      <w:r>
        <w:t xml:space="preserve"> </w:t>
      </w:r>
      <w:r>
        <w:t xml:space="preserve">responses is similar on signal-loss and neutral blocks, using a two-tailed repeated measures t-test.</w:t>
      </w:r>
    </w:p>
    <w:p>
      <w:pPr>
        <w:pStyle w:val="Textkrper"/>
      </w:pPr>
      <w:r>
        <w:rPr>
          <w:iCs/>
          <w:i/>
        </w:rPr>
        <w:t xml:space="preserve">Hypothesis 2 (ABSENCE LOSS EFFECT ON DECISION)</w:t>
      </w:r>
      <w:r>
        <w:t xml:space="preserve">: We will test the null hypothesis that the proportion of</w:t>
      </w:r>
      <w:r>
        <w:t xml:space="preserve"> </w:t>
      </w:r>
      <w:r>
        <w:t xml:space="preserve">‘</w:t>
      </w:r>
      <w:r>
        <w:t xml:space="preserve">target-present</w:t>
      </w:r>
      <w:r>
        <w:t xml:space="preserve">’</w:t>
      </w:r>
      <w:r>
        <w:t xml:space="preserve"> </w:t>
      </w:r>
      <w:r>
        <w:t xml:space="preserve">responses is similar on noise-loss and neutral blocks, using a two-tailed repeated measures t-test.</w:t>
      </w:r>
    </w:p>
    <w:p>
      <w:pPr>
        <w:pStyle w:val="Textkrper"/>
      </w:pPr>
      <w:r>
        <w:rPr>
          <w:iCs/>
          <w:i/>
        </w:rPr>
        <w:t xml:space="preserve">Hypothesis 3 (PRESENCE VERSUS ABSENCE LOSS EFFECTS ON DECISION)</w:t>
      </w:r>
      <w:r>
        <w:t xml:space="preserve">: We will test the null hypothesis that effects of presence and absence loss on decision are of similar magnitudes, using a two-tailed repeated measures t-test.</w:t>
      </w:r>
    </w:p>
    <w:p>
      <w:pPr>
        <w:pStyle w:val="Textkrper"/>
      </w:pPr>
      <w:r>
        <w:rPr>
          <w:iCs/>
          <w:i/>
        </w:rPr>
        <w:t xml:space="preserve">Hypothesis 4 (PRESENCE LOSS EFFECT ON TARGET-PRESENT DECISION TIMES)</w:t>
      </w:r>
      <w:r>
        <w:t xml:space="preserve">: We will test the null hypothesis that target-present response times are similar in neutral and presence-loss blocks, using a paired t-test on the median individual level-response times in correct responses only.</w:t>
      </w:r>
    </w:p>
    <w:p>
      <w:pPr>
        <w:pStyle w:val="Textkrper"/>
      </w:pPr>
      <w:r>
        <w:rPr>
          <w:iCs/>
          <w:i/>
        </w:rPr>
        <w:t xml:space="preserve">Hypothesis 5 (PRESENCE LOSS EFFECT ON TARGET-ABSENT DECISION TIMES)</w:t>
      </w:r>
      <w:r>
        <w:t xml:space="preserve">: We will test the null hypothesis that target-absent response times are similar in neutral and presence-loss blocks, using a paired t-test on the median individual level-response times in correct responses only.</w:t>
      </w:r>
    </w:p>
    <w:p>
      <w:pPr>
        <w:pStyle w:val="Textkrper"/>
      </w:pPr>
      <w:r>
        <w:rPr>
          <w:iCs/>
          <w:i/>
        </w:rPr>
        <w:t xml:space="preserve">Hypothesis 6 (ABSENCE LOSS EFFECT ON TARGET-PRESENT DECISION TIMES)</w:t>
      </w:r>
      <w:r>
        <w:t xml:space="preserve">: We will test the null hypothesis that target-present response times are similar in neutral and absence-loss blocks, using a paired t-test on the median individual level-response times in correct responses only.</w:t>
      </w:r>
    </w:p>
    <w:p>
      <w:pPr>
        <w:pStyle w:val="Textkrper"/>
      </w:pPr>
      <w:r>
        <w:rPr>
          <w:iCs/>
          <w:i/>
        </w:rPr>
        <w:t xml:space="preserve">Hypothesis 7 (ABSENCE LOSS EFFECT ON TARGET-ABSENT DECISION TIMES)</w:t>
      </w:r>
      <w:r>
        <w:t xml:space="preserve">: We will test the null hypothesis that target-absent response times are similar in neutral and absence-loss blocks, using a paired t-test on the median individual level-response times in correct responses only.</w:t>
      </w:r>
    </w:p>
    <w:p>
      <w:pPr>
        <w:pStyle w:val="Textkrper"/>
      </w:pPr>
      <w:r>
        <w:rPr>
          <w:iCs/>
          <w:i/>
        </w:rPr>
        <w:t xml:space="preserve">Hypothesis 8 (CORRELATION BETWEEN PRESENCE-LOSS EFFECT ON DECISION BIAS AND WBSI SCORE)</w:t>
      </w:r>
      <w:r>
        <w:t xml:space="preserve">: We will test the null hypothesis that the difference between response bias in neutral and presence-loss blocks is unrelated to individual WBSI scores</w:t>
      </w:r>
      <w:r>
        <w:t xml:space="preserve"> </w:t>
      </w:r>
      <w:r>
        <w:t xml:space="preserve">(Wegner &amp; Zanakos, 1994)</w:t>
      </w:r>
      <w:r>
        <w:t xml:space="preserve">, by extracting the Pearson correlation between these two measures.</w:t>
      </w:r>
    </w:p>
    <w:p>
      <w:pPr>
        <w:pStyle w:val="Textkrper"/>
      </w:pPr>
      <w:r>
        <w:rPr>
          <w:iCs/>
          <w:i/>
        </w:rPr>
        <w:t xml:space="preserve">Hypothesis 9 (CORRELATION BETWEEN ABSENCE-LOSS EFFECT ON DECISION BIAS AND WBSI SCORE)</w:t>
      </w:r>
      <w:r>
        <w:t xml:space="preserve">: We will test the null hypothesis that the difference between response bias in neutral and absence-loss blocks is unrelated to individual WBSI scores</w:t>
      </w:r>
      <w:r>
        <w:t xml:space="preserve"> </w:t>
      </w:r>
      <w:r>
        <w:t xml:space="preserve">(Wegner &amp; Zanakos, 1994)</w:t>
      </w:r>
      <w:r>
        <w:t xml:space="preserve">, by extracting the Pearson correlation between these two measures.</w:t>
      </w:r>
    </w:p>
    <w:p>
      <w:pPr>
        <w:pStyle w:val="Textkrper"/>
      </w:pPr>
      <w:r>
        <w:rPr>
          <w:iCs/>
          <w:i/>
        </w:rPr>
        <w:t xml:space="preserve">Hypothesis 10 (DIFFERENCE BETWEEN WBSI CORRELATIONS)</w:t>
      </w:r>
      <w:r>
        <w:t xml:space="preserve">: We will test the null hypothesis that the correlation of WBSI scores with the presence-loss effect (H8) is similar to its correlation with the absence-loss effect (H9), using a Hotelling-Williams test for dependent correlations, implemented in the R cocor package</w:t>
      </w:r>
      <w:r>
        <w:t xml:space="preserve"> </w:t>
      </w:r>
      <w:r>
        <w:t xml:space="preserve">(Diedenhofen &amp; Musch, 2015)</w:t>
      </w:r>
    </w:p>
    <w:bookmarkStart w:id="29" w:name="X6137f7fbf454c28f3baa49f224b8ed45f861831"/>
    <w:p>
      <w:pPr>
        <w:pStyle w:val="berschrift3"/>
      </w:pPr>
      <w:r>
        <w:t xml:space="preserve">Exploratory analysis: Drift Diffusion Modelling (DDM).</w:t>
      </w:r>
    </w:p>
    <w:p>
      <w:pPr>
        <w:pStyle w:val="FirstParagraph"/>
      </w:pPr>
      <w:r>
        <w:t xml:space="preserve">DDM assumes that perceptual decisions (was the grating present or absent) are made by sequentially sampling the sensory evidence from a starting point to one of two boundaries until one of the boundaries is reached and a response is made. There are three ways by which the model could account for a bias towards one boundary. First, motivation may bias the rate of evidence accumulation for desired stimuli (drift biasing). In this case the starting point is identical to an unbiased decision-making process but the gradient of accumulation towards the two bounds differs</w:t>
      </w:r>
      <w:r>
        <w:t xml:space="preserve"> </w:t>
      </w:r>
      <w:r>
        <w:t xml:space="preserve">(Ratcliff, Smith, Brown, &amp; McKoon, 2016)</w:t>
      </w:r>
      <w:r>
        <w:t xml:space="preserve">. Second, motivation may shift the starting point of the evidence accumulation process towards a certain decision boundary (seeing a clockwise tilt when it is associated with a reward), and third, motivation may alter both the starting point and drift rate of the accumulation process - as reported by</w:t>
      </w:r>
      <w:r>
        <w:t xml:space="preserve"> </w:t>
      </w:r>
      <w:r>
        <w:t xml:space="preserve">Leong et al. (2019)</w:t>
      </w:r>
      <w:r>
        <w:t xml:space="preserve">. We will fit different models to the data to examine which behavioural pattern can best explain our results.</w:t>
      </w:r>
    </w:p>
    <w:bookmarkEnd w:id="29"/>
    <w:bookmarkStart w:id="30" w:name="Xf85ea13aa8204a5711d230cac80763eb3cd10c5"/>
    <w:p>
      <w:pPr>
        <w:pStyle w:val="berschrift3"/>
      </w:pPr>
      <w:r>
        <w:t xml:space="preserve">Exploratory analysis: Factor analysis of WBSI results.</w:t>
      </w:r>
    </w:p>
    <w:p>
      <w:pPr>
        <w:pStyle w:val="FirstParagraph"/>
      </w:pPr>
      <w:r>
        <w:t xml:space="preserve">Following</w:t>
      </w:r>
      <w:r>
        <w:t xml:space="preserve"> </w:t>
      </w:r>
      <w:r>
        <w:t xml:space="preserve">Blumberg (2000)</w:t>
      </w:r>
      <w:r>
        <w:t xml:space="preserve">, we will decompose the WBSI inventory into three constituent factors: unwanted intrusive thoughts (an example item:</w:t>
      </w:r>
      <w:r>
        <w:t xml:space="preserve"> </w:t>
      </w:r>
      <w:r>
        <w:t xml:space="preserve">‘</w:t>
      </w:r>
      <w:r>
        <w:t xml:space="preserve">I have thoughts that I cannot stop</w:t>
      </w:r>
      <w:r>
        <w:t xml:space="preserve">’</w:t>
      </w:r>
      <w:r>
        <w:t xml:space="preserve">), thought suppression (</w:t>
      </w:r>
      <w:r>
        <w:t xml:space="preserve">‘</w:t>
      </w:r>
      <w:r>
        <w:t xml:space="preserve">There are things that I try not to think about</w:t>
      </w:r>
      <w:r>
        <w:t xml:space="preserve">’</w:t>
      </w:r>
      <w:r>
        <w:t xml:space="preserve">), and self-distraction (</w:t>
      </w:r>
      <w:r>
        <w:t xml:space="preserve">‘</w:t>
      </w:r>
      <w:r>
        <w:t xml:space="preserve">I often do things to distract myself from my thoughts</w:t>
      </w:r>
      <w:r>
        <w:t xml:space="preserve">’</w:t>
      </w:r>
      <w:r>
        <w:t xml:space="preserve">). We will then measure the Pearson correlation of each of these three factors with presence-loss and absence-loss effects on decision bias.</w:t>
      </w:r>
    </w:p>
    <w:bookmarkEnd w:id="30"/>
    <w:bookmarkStart w:id="31" w:name="sample-size-and-statistical-power"/>
    <w:p>
      <w:pPr>
        <w:pStyle w:val="berschrift3"/>
      </w:pPr>
      <w:r>
        <w:t xml:space="preserve">Sample size and statistical power.</w:t>
      </w:r>
    </w:p>
    <w:p>
      <w:pPr>
        <w:pStyle w:val="FirstParagraph"/>
      </w:pPr>
      <w:r>
        <w:t xml:space="preserve">We will collect data until we have data from 130 participants, after applying our pre-registered exclusion criteria. With data from 130 participants, we will have a statistical power of 95% to detect effects of 0.32 s.d.in a repeated measures t-test, similar in size to the response bias effect of the loss manipulation in Exp. 3.</w:t>
      </w:r>
    </w:p>
    <w:p>
      <w:r>
        <w:br w:type="page"/>
      </w:r>
    </w:p>
    <w:bookmarkEnd w:id="31"/>
    <w:bookmarkEnd w:id="32"/>
    <w:bookmarkEnd w:id="33"/>
    <w:bookmarkStart w:id="43" w:name="references"/>
    <w:p>
      <w:pPr>
        <w:pStyle w:val="berschrift1"/>
      </w:pPr>
      <w:r>
        <w:t xml:space="preserve">References</w:t>
      </w:r>
    </w:p>
    <w:bookmarkStart w:id="42" w:name="refs"/>
    <w:bookmarkStart w:id="34"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34"/>
    <w:bookmarkStart w:id="35" w:name="ref-blumberg2000white"/>
    <w:p>
      <w:pPr>
        <w:pStyle w:val="Literaturverzeichnis"/>
      </w:pPr>
      <w:r>
        <w:t xml:space="preserve">Blumberg, S. J. (2000). The white bear suppression inventory: Revisiting its factor structure.</w:t>
      </w:r>
      <w:r>
        <w:t xml:space="preserve"> </w:t>
      </w:r>
      <w:r>
        <w:rPr>
          <w:iCs/>
          <w:i/>
        </w:rPr>
        <w:t xml:space="preserve">Personality and Individual Differences</w:t>
      </w:r>
      <w:r>
        <w:t xml:space="preserve">,</w:t>
      </w:r>
      <w:r>
        <w:t xml:space="preserve"> </w:t>
      </w:r>
      <w:r>
        <w:rPr>
          <w:iCs/>
          <w:i/>
        </w:rPr>
        <w:t xml:space="preserve">29</w:t>
      </w:r>
      <w:r>
        <w:t xml:space="preserve">(5), 943–950.</w:t>
      </w:r>
    </w:p>
    <w:bookmarkEnd w:id="35"/>
    <w:bookmarkStart w:id="36" w:name="ref-diedenhofen2015cocor"/>
    <w:p>
      <w:pPr>
        <w:pStyle w:val="Literaturverzeichnis"/>
      </w:pPr>
      <w:r>
        <w:t xml:space="preserve">Diedenhofen, B., &amp; Musch, J. (2015). Cocor: A comprehensive solution for the statistical comparison of correlations.</w:t>
      </w:r>
      <w:r>
        <w:t xml:space="preserve"> </w:t>
      </w:r>
      <w:r>
        <w:rPr>
          <w:iCs/>
          <w:i/>
        </w:rPr>
        <w:t xml:space="preserve">PloS One</w:t>
      </w:r>
      <w:r>
        <w:t xml:space="preserve">,</w:t>
      </w:r>
      <w:r>
        <w:t xml:space="preserve"> </w:t>
      </w:r>
      <w:r>
        <w:rPr>
          <w:iCs/>
          <w:i/>
        </w:rPr>
        <w:t xml:space="preserve">10</w:t>
      </w:r>
      <w:r>
        <w:t xml:space="preserve">(4), e0121945.</w:t>
      </w:r>
    </w:p>
    <w:bookmarkEnd w:id="36"/>
    <w:bookmarkStart w:id="37"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37"/>
    <w:bookmarkStart w:id="38"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38"/>
    <w:bookmarkStart w:id="39"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39"/>
    <w:bookmarkStart w:id="40" w:name="ref-ratcliff2016diffusion"/>
    <w:p>
      <w:pPr>
        <w:pStyle w:val="Literaturverzeichnis"/>
      </w:pPr>
      <w:r>
        <w:t xml:space="preserve">Ratcliff, R., Smith, P. L., Brown, S. D., &amp; McKoon, G. (2016). Diffusion decision model: Current issues and history.</w:t>
      </w:r>
      <w:r>
        <w:t xml:space="preserve"> </w:t>
      </w:r>
      <w:r>
        <w:rPr>
          <w:iCs/>
          <w:i/>
        </w:rPr>
        <w:t xml:space="preserve">Trends in Cognitive Sciences</w:t>
      </w:r>
      <w:r>
        <w:t xml:space="preserve">,</w:t>
      </w:r>
      <w:r>
        <w:t xml:space="preserve"> </w:t>
      </w:r>
      <w:r>
        <w:rPr>
          <w:iCs/>
          <w:i/>
        </w:rPr>
        <w:t xml:space="preserve">20</w:t>
      </w:r>
      <w:r>
        <w:t xml:space="preserve">(4), 260–281.</w:t>
      </w:r>
    </w:p>
    <w:bookmarkEnd w:id="40"/>
    <w:bookmarkStart w:id="41" w:name="ref-wegner1994chronic"/>
    <w:p>
      <w:pPr>
        <w:pStyle w:val="Literaturverzeichnis"/>
      </w:pPr>
      <w:r>
        <w:t xml:space="preserve">Wegner, D. M., &amp; Zanakos, S. (1994). Chronic thought suppression.</w:t>
      </w:r>
      <w:r>
        <w:t xml:space="preserve"> </w:t>
      </w:r>
      <w:r>
        <w:rPr>
          <w:iCs/>
          <w:i/>
        </w:rPr>
        <w:t xml:space="preserve">Journal of Personality</w:t>
      </w:r>
      <w:r>
        <w:t xml:space="preserve">,</w:t>
      </w:r>
      <w:r>
        <w:t xml:space="preserve"> </w:t>
      </w:r>
      <w:r>
        <w:rPr>
          <w:iCs/>
          <w:i/>
        </w:rPr>
        <w:t xml:space="preserve">62</w:t>
      </w:r>
      <w:r>
        <w:t xml:space="preserve">(4), 615–640.</w:t>
      </w:r>
    </w:p>
    <w:bookmarkEnd w:id="41"/>
    <w:bookmarkEnd w:id="42"/>
    <w:bookmarkEnd w:id="4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SEEING AND UNSEEING - EXP. 7 PRE-REGISTRATION DOCUMENT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SEEING AND UNSEEING - EXP. 7 PRE-REGISTRATION DOCUMENT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seeing and unseeing - Exp. 7 pre-registration document</dc:title>
  <dc:creator/>
  <cp:keywords/>
  <dcterms:created xsi:type="dcterms:W3CDTF">2022-12-08T11:58:46Z</dcterms:created>
  <dcterms:modified xsi:type="dcterms:W3CDTF">2022-12-08T11:58:46Z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seeing and unseeing - Exp. 7 pre-registration document</vt:lpwstr>
  </property>
  <property fmtid="{D5CDD505-2E9C-101B-9397-08002B2CF9AE}" pid="15" name="tablelist">
    <vt:lpwstr>False</vt:lpwstr>
  </property>
  <property fmtid="{D5CDD505-2E9C-101B-9397-08002B2CF9AE}" pid="16" name="wordcount">
    <vt:lpwstr>X</vt:lpwstr>
  </property>
</Properties>
</file>