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SCW MEDICATH LTD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SCW MEDICATH LTD,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SCW MEDICATH LTD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