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问题阵列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能力定义与指令范式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题库配比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核心锚点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非开放问题</w:t>
              <w:br/>
              <w:t>(Fact-Based)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客观事实检索，具备绝对唯一的 Ground Truth。</w:t>
              <w:br/>
              <w:t>示例：“净利率最高的合同是哪一个？”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50 道</w:t>
              <w:br/>
              <w:t>(高阶逻辑)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数据提取精准度、跨表聚合能力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开放问题</w:t>
              <w:br/>
              <w:t>(Insight-Based)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主观归纳与经营诊断，需提供三段式推理引擎输出。</w:t>
              <w:br/>
              <w:t>示例：“为什么杨帆利润这么低？请给出管理对策。”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30 道</w:t>
              <w:br/>
              <w:t>(灵魂拷问)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事实零幻觉、商业逻辑严密性、对策可行性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>
        <w:t>忽略智能体回答的表面排版格式，纯粹穿透底层语义，考察其是否涵盖三大核心考核点：</w:t>
      </w:r>
    </w:p>
    <w:p>
      <w:pPr>
        <w:spacing w:before="120" w:after="120" w:line="288" w:lineRule="auto"/>
        <w:ind w:left="907"/>
      </w:pPr>
      <w:r>
        <w:t>• 事实与数据层（40%权重，满分2分）：是否精准找对底层数据，严防任何虚构或数据混用（幻觉）。</w:t>
      </w:r>
    </w:p>
    <w:p>
      <w:pPr>
        <w:spacing w:after="120"/>
        <w:ind w:left="907"/>
        <w:jc w:val="center"/>
      </w:pPr>
      <w:r>
        <w:t>• 归纳与分析层（30%权重，满分1.5分）：是否将冷冰冰的数据转化为有业务深度的根因洞察。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t>• 落地与建议层（30%权重，满分1.5分）：是否输出了具备实操性、针对性的经营管理对策。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🟢 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🔴 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LLM 裁判打分逻辑拆解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🟢 优秀</w:t>
            </w:r>
          </w:p>
        </w:tc>
        <w:tc>
          <w:tcPr>
            <w:tcW w:type="dxa" w:w="2256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2256"/>
          </w:tcPr>
          <w:p>
            <w:r>
              <w:t>事实层(2分)：覆盖核心数据。</w:t>
              <w:br/>
              <w:t>洞察层(1.5分)：指出延期与条款痛点。</w:t>
              <w:br/>
              <w:t>建议层(1.5分)：梯次报价与防延期追踪完全具备实操性。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🔴 不及格</w:t>
            </w:r>
          </w:p>
        </w:tc>
        <w:tc>
          <w:tcPr>
            <w:tcW w:type="dxa" w:w="2256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2256"/>
          </w:tcPr>
          <w:p>
            <w:r>
              <w:t>事实层(0分)：完全缺失真实数据。</w:t>
              <w:br/>
              <w:t>洞察层(0.5分)：归因流于表面。</w:t>
              <w:br/>
              <w:t>建议层(0.5分)：建议宽泛空洞，属无效车轱辘话。</w:t>
            </w:r>
          </w:p>
        </w:tc>
        <w:tc>
          <w:tcPr>
            <w:tcW w:type="dxa" w:w="2256"/>
          </w:tcPr>
          <w:p>
            <w:r>
              <w:t>1 分</w:t>
              <w:br/>
              <w:t>(触发人工复检)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核心度量维度</w:t>
            </w:r>
          </w:p>
        </w:tc>
        <w:tc>
          <w:tcPr>
            <w:tcW w:type="dxa" w:w="1728"/>
          </w:tcPr>
          <w:p>
            <w:r>
              <w:t>指标定义与评判逻辑</w:t>
            </w:r>
          </w:p>
        </w:tc>
        <w:tc>
          <w:tcPr>
            <w:tcW w:type="dxa" w:w="1728"/>
          </w:tcPr>
          <w:p>
            <w:r>
              <w:t>量化计算方式</w:t>
            </w:r>
          </w:p>
        </w:tc>
        <w:tc>
          <w:tcPr>
            <w:tcW w:type="dxa" w:w="1728"/>
          </w:tcPr>
          <w:p>
            <w:r>
              <w:t>企业级目标阈值</w:t>
            </w:r>
          </w:p>
        </w:tc>
        <w:tc>
          <w:tcPr>
            <w:tcW w:type="dxa" w:w="1728"/>
          </w:tcPr>
          <w:p>
            <w:r>
              <w:t>适用场景</w:t>
            </w:r>
          </w:p>
        </w:tc>
      </w:tr>
      <w:tr>
        <w:tc>
          <w:tcPr>
            <w:tcW w:type="dxa" w:w="1728"/>
          </w:tcPr>
          <w:p>
            <w:r>
              <w:t>多维准确性</w:t>
              <w:br/>
              <w:t>(Multidimensional Accuracy)</w:t>
            </w:r>
          </w:p>
        </w:tc>
        <w:tc>
          <w:tcPr>
            <w:tcW w:type="dxa" w:w="1728"/>
          </w:tcPr>
          <w:p>
            <w:r>
              <w:t>事实与逻辑双重校验。确保数据检索不漏、业务计算不错、逻辑推演不偏。</w:t>
            </w:r>
          </w:p>
        </w:tc>
        <w:tc>
          <w:tcPr>
            <w:tcW w:type="dxa" w:w="1728"/>
          </w:tcPr>
          <w:p>
            <w:r>
              <w:t>非开放题：自动化精准比对匹配度</w:t>
              <w:br/>
              <w:t>开放题：LLM 裁判 1-5 分量化矩阵 (事实/洞察/建议)</w:t>
            </w:r>
          </w:p>
        </w:tc>
        <w:tc>
          <w:tcPr>
            <w:tcW w:type="dxa" w:w="1728"/>
          </w:tcPr>
          <w:p>
            <w:r>
              <w:t>非开放题：100%</w:t>
              <w:br/>
              <w:t>开放题：平均分 ≥ 4.5</w:t>
            </w:r>
          </w:p>
        </w:tc>
        <w:tc>
          <w:tcPr>
            <w:tcW w:type="dxa" w:w="1728"/>
          </w:tcPr>
          <w:p>
            <w:r>
              <w:t>全量题库</w:t>
              <w:br/>
              <w:t>(非开放 + 开放)</w:t>
            </w:r>
          </w:p>
        </w:tc>
      </w:tr>
      <w:tr>
        <w:tc>
          <w:tcPr>
            <w:tcW w:type="dxa" w:w="1728"/>
          </w:tcPr>
          <w:p>
            <w:r>
              <w:t>一致性与鲁棒性</w:t>
              <w:br/>
              <w:t>(Consistency &amp; Robustness)</w:t>
            </w:r>
          </w:p>
        </w:tc>
        <w:tc>
          <w:tcPr>
            <w:tcW w:type="dxa" w:w="1728"/>
          </w:tcPr>
          <w:p>
            <w:r>
              <w:t>面对相同的高阶经营提问或存在微小扰动的 Prompt 时，系统能否提供绝对稳定的解答输出。</w:t>
            </w:r>
          </w:p>
        </w:tc>
        <w:tc>
          <w:tcPr>
            <w:tcW w:type="dxa" w:w="1728"/>
          </w:tcPr>
          <w:p>
            <w:r>
              <w:t>高并发压力测试下，对同一问题抽样 20 次并计算输出结果的零差异比率。</w:t>
            </w:r>
          </w:p>
        </w:tc>
        <w:tc>
          <w:tcPr>
            <w:tcW w:type="dxa" w:w="1728"/>
          </w:tcPr>
          <w:p>
            <w:r>
              <w:t>100% 零差异率</w:t>
            </w:r>
          </w:p>
        </w:tc>
        <w:tc>
          <w:tcPr>
            <w:tcW w:type="dxa" w:w="1728"/>
          </w:tcPr>
          <w:p>
            <w:r>
              <w:t>重点针对大额合同与高危商机类的严谨查询</w:t>
            </w:r>
          </w:p>
        </w:tc>
      </w:tr>
      <w:tr>
        <w:tc>
          <w:tcPr>
            <w:tcW w:type="dxa" w:w="1728"/>
          </w:tcPr>
          <w:p>
            <w:r>
              <w:t>零幻觉溯源率</w:t>
              <w:br/>
              <w:t>(Zero-Hallucination)</w:t>
            </w:r>
          </w:p>
        </w:tc>
        <w:tc>
          <w:tcPr>
            <w:tcW w:type="dxa" w:w="1728"/>
          </w:tcPr>
          <w:p>
            <w:r>
              <w:t>输出文本中引用的任意具体数值、阶段名称或最终用户实体，必须 100% 拥有底层测试数据集的引用依据凭证。严防模型脑补。</w:t>
            </w:r>
          </w:p>
        </w:tc>
        <w:tc>
          <w:tcPr>
            <w:tcW w:type="dxa" w:w="1728"/>
          </w:tcPr>
          <w:p>
            <w:r>
              <w:t>实体链接穿透率计算：由 LLM 裁判提取数值/实体，并交由脚本与源库比对，计算捏造实体个数。</w:t>
            </w:r>
          </w:p>
        </w:tc>
        <w:tc>
          <w:tcPr>
            <w:tcW w:type="dxa" w:w="1728"/>
          </w:tcPr>
          <w:p>
            <w:r>
              <w:t>绝对 0 幻觉</w:t>
              <w:br/>
              <w:t>(容忍度 0%)</w:t>
            </w:r>
          </w:p>
        </w:tc>
        <w:tc>
          <w:tcPr>
            <w:tcW w:type="dxa" w:w="1728"/>
          </w:tcPr>
          <w:p>
            <w:r>
              <w:t>全量开放问题深度分析段落</w:t>
            </w:r>
          </w:p>
        </w:tc>
      </w:tr>
    </w:tbl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