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r>
        <w:t>经分智能体效果测试方案2.0（问题驱动测试，自动化评估与人工复检）</w:t>
      </w:r>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t>方案2.0转向问题驱动测试：模拟真实用户自然语言提问，通过对话接口验证回复效果。采用自动化验证体系，直接手动计算/判断开放问题和非开放问题的值（准确性）。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t>采用自动化验证体系，非开放问题直接手动计算回复值作为Ground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t>非开放问题（客观事实类，脚本自动化比对）：</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t>自动化对比：拿经分智能体的回复跟Ground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t>开放问题（主观分析类，LLM-as-a-Judge 自动评分）：</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t>大模型裁判核对事实：引用数据/项目/关系是否匹配输入数据（缺口18,641.94万元对不对？Top3负责人XXX等对不对？）。</w:t>
      </w:r>
    </w:p>
    <w:p>
      <w:pPr>
        <w:numPr>
          <w:numId w:val="14"/>
        </w:numPr>
        <w:spacing w:before="120" w:after="120" w:line="288" w:lineRule="auto"/>
        <w:ind w:left="907"/>
        <w:jc w:val="left"/>
      </w:pPr>
      <w:r>
        <w:t>大模型裁判验证逻辑：根因推理是否沿本体关系路径（ 高风险 → 进程低 → 缺口大）。</w:t>
      </w:r>
    </w:p>
    <w:p>
      <w:pPr>
        <w:numPr>
          <w:numId w:val="15"/>
        </w:numPr>
        <w:spacing w:before="120" w:after="120" w:line="288" w:lineRule="auto"/>
        <w:ind w:left="907"/>
        <w:jc w:val="left"/>
      </w:pPr>
      <w:r>
        <w:t>大模型裁判评估建议：是否具体/可行（有谁/做什么/预期）-- 暂定。</w:t>
      </w:r>
    </w:p>
    <w:p>
      <w:pPr>
        <w:numPr>
          <w:numId w:val="16"/>
        </w:numPr>
        <w:spacing w:before="120" w:after="120" w:line="288" w:lineRule="auto"/>
        <w:ind w:left="907"/>
        <w:jc w:val="left"/>
      </w:pPr>
      <w:r>
        <w:t>大模型裁判判定完整度：覆盖问题关键点（根因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t>深度分析 + 建议能力示例（典型开放问题回复，LLM裁判自动评估）：</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t>准确性自动评估</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t>触发人工复检底层数据路径。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t>LLM 裁判判定为低分，触发人工复检缺陷明细。</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bookmarkStart w:name="heading_4" w:id="4"/>
      <w:r>
        <w:rPr>
          <w:rFonts w:eastAsia="等线" w:ascii="Arial" w:cs="Arial" w:hAnsi="Arial"/>
          <w:b w:val="true"/>
          <w:sz w:val="28"/>
        </w:rPr>
        <w:t>四. 测试指标</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560"/>
        <w:gridCol w:w="1680"/>
        <w:gridCol w:w="1680"/>
        <w:gridCol w:w="1680"/>
        <w:gridCol w:w="1680"/>
      </w:tblGrid>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指标名称</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计算方式</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目标阈值</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适用问题类型</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回复的对不对</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每条问题1-5分专家平均分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平均≥4.5分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 + 非开放</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一致性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相同问题多次运行输出相同</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20次运行零差异率</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100%</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两者均适用</w:t>
            </w:r>
          </w:p>
        </w:tc>
      </w:tr>
    </w:tbl>
    <w:p>
      <w:pPr>
        <w:numPr>
          <w:numId w:val="18"/>
        </w:numPr>
        <w:spacing w:before="120" w:after="120" w:line="288" w:lineRule="auto"/>
        <w:ind w:left="0"/>
        <w:jc w:val="left"/>
      </w:pPr>
      <w:r>
        <w:rPr>
          <w:rFonts w:eastAsia="等线" w:ascii="Arial" w:cs="Arial" w:hAnsi="Arial"/>
          <w:b w:val="true"/>
          <w:sz w:val="22"/>
        </w:rPr>
        <w:t>综合通过</w:t>
      </w:r>
      <w:r>
        <w:rPr>
          <w:rFonts w:eastAsia="等线" w:ascii="Arial" w:cs="Arial" w:hAnsi="Arial"/>
          <w:sz w:val="22"/>
        </w:rPr>
        <w:t>：准确性≥4.5分 + 一致性100% 。</w:t>
      </w:r>
    </w:p>
    <w:p>
      <w:pPr>
        <w:pStyle w:val="4"/>
        <w:spacing w:before="260" w:after="120" w:line="288" w:lineRule="auto"/>
        <w:ind w:left="0"/>
        <w:jc w:val="left"/>
        <w:outlineLvl w:val="3"/>
      </w:pPr>
      <w:bookmarkStart w:name="heading_5" w:id="5"/>
      <w:r>
        <w:rPr>
          <w:rFonts w:eastAsia="等线" w:ascii="Arial" w:cs="Arial" w:hAnsi="Arial"/>
          <w:b w:val="true"/>
          <w:sz w:val="28"/>
        </w:rPr>
        <w:t>五. 测试执行流程</w:t>
      </w:r>
      <w:bookmarkEnd w:id="5"/>
    </w:p>
    <w:p>
      <w:pPr>
        <w:numPr>
          <w:numId w:val="19"/>
        </w:numPr>
        <w:spacing w:before="120" w:after="120" w:line="288" w:lineRule="auto"/>
        <w:ind w:left="0"/>
        <w:jc w:val="left"/>
      </w:pPr>
      <w:r>
        <w:rPr>
          <w:rFonts w:eastAsia="等线" w:ascii="Arial" w:cs="Arial" w:hAnsi="Arial"/>
          <w:b w:val="true"/>
          <w:sz w:val="22"/>
        </w:rPr>
        <w:t>问题集构造</w:t>
      </w:r>
      <w:r>
        <w:rPr>
          <w:rFonts w:eastAsia="等线" w:ascii="Arial" w:cs="Arial" w:hAnsi="Arial"/>
          <w:sz w:val="22"/>
        </w:rPr>
        <w:t>：构造80-100个问题（覆盖业务全链，包括非开放和开放问题），确保问题多样性（简单事实查询到深度分析 + 建议），并预定义每个问题的Ground Truth或参考框架。</w:t>
      </w:r>
    </w:p>
    <w:p>
      <w:pPr>
        <w:numPr>
          <w:numId w:val="20"/>
        </w:numPr>
        <w:spacing w:before="120" w:after="120" w:line="288" w:lineRule="auto"/>
        <w:ind w:left="0"/>
        <w:jc w:val="left"/>
      </w:pPr>
      <w:r>
        <w:rPr>
          <w:rFonts w:eastAsia="等线" w:ascii="Arial" w:cs="Arial" w:hAnsi="Arial"/>
          <w:b w:val="true"/>
          <w:sz w:val="22"/>
        </w:rPr>
        <w:t>测试运行</w:t>
      </w:r>
      <w:r>
        <w:rPr>
          <w:rFonts w:eastAsia="等线" w:ascii="Arial" w:cs="Arial" w:hAnsi="Arial"/>
          <w:sz w:val="22"/>
        </w:rPr>
        <w:t>：通过大模型对话接口逐一输入问题，记录完整回复内容（文本/看板），并保存日志（暂定-包括输入时间、回复时间、完整输出）。</w:t>
      </w:r>
    </w:p>
    <w:p>
      <w:pPr>
        <w:numPr>
          <w:numId w:val="21"/>
        </w:numPr>
        <w:spacing w:before="120" w:after="120" w:line="288" w:lineRule="auto"/>
        <w:ind w:left="0"/>
        <w:jc w:val="left"/>
      </w:pPr>
      <w:r>
        <w:rPr>
          <w:rFonts w:eastAsia="等线" w:ascii="Arial" w:cs="Arial" w:hAnsi="Arial"/>
          <w:b w:val="true"/>
          <w:sz w:val="22"/>
        </w:rPr>
        <w:t>结果验证</w:t>
      </w:r>
      <w:r>
        <w:rPr>
          <w:rFonts w:eastAsia="等线" w:ascii="Arial" w:cs="Arial" w:hAnsi="Arial"/>
          <w:sz w:val="22"/>
        </w:rPr>
        <w:t>：手动计算准确性（非开放问题对比Ground Truth，开放问题按参考框架检查事实/逻辑/建议/完整），专家打分量化（1-5分平均），记录异常回复。</w:t>
      </w:r>
    </w:p>
    <w:p>
      <w:pPr>
        <w:numPr>
          <w:numId w:val="22"/>
        </w:numPr>
        <w:spacing w:before="120" w:after="120" w:line="288" w:lineRule="auto"/>
        <w:ind w:left="0"/>
        <w:jc w:val="left"/>
      </w:pPr>
      <w:r>
        <w:rPr>
          <w:rFonts w:eastAsia="等线" w:ascii="Arial" w:cs="Arial" w:hAnsi="Arial"/>
          <w:b w:val="true"/>
          <w:sz w:val="22"/>
        </w:rPr>
        <w:t>测试报告</w:t>
      </w:r>
      <w:r>
        <w:rPr>
          <w:rFonts w:eastAsia="等线" w:ascii="Arial" w:cs="Arial" w:hAnsi="Arial"/>
          <w:sz w:val="22"/>
        </w:rPr>
        <w:t>：统计指标数据（表格呈现准确性/一致性结果），附好坏回复对比示例（汇报直观），并分析优化建议。</w:t>
      </w:r>
    </w:p>
    <w:p>
      <w:pPr>
        <w:pStyle w:val="4"/>
        <w:spacing w:before="260" w:after="120" w:line="288" w:lineRule="auto"/>
        <w:ind w:left="0"/>
        <w:jc w:val="left"/>
        <w:outlineLvl w:val="3"/>
      </w:pPr>
      <w:bookmarkStart w:name="heading_6" w:id="6"/>
      <w:bookmarkEnd w:id="6"/>
    </w:p>
    <w:p>
      <w:pPr>
        <w:spacing w:before="120" w:after="120" w:line="288" w:lineRule="auto"/>
        <w:ind w:left="0"/>
        <w:jc w:val="left"/>
      </w:pPr>
    </w:p>
    <w:p>
      <w:r>
        <w:br w:type="page"/>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