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经分智能体测试方案2.0</w:t>
      </w:r>
    </w:p>
    <w:p>
      <w:pPr>
        <w:pStyle w:val="3"/>
        <w:spacing w:before="300" w:after="120" w:line="288" w:lineRule="auto"/>
        <w:ind w:left="0"/>
        <w:jc w:val="left"/>
        <w:outlineLvl w:val="2"/>
      </w:pPr>
      <w:bookmarkStart w:name="heading_0" w:id="0"/>
      <w:r>
        <w:rPr>
          <w:rFonts w:eastAsia="等线" w:ascii="Arial" w:cs="Arial" w:hAnsi="Arial"/>
          <w:b w:val="true"/>
          <w:sz w:val="30"/>
        </w:rPr>
        <w:t>经分智能体效果测试方案2.0（问题驱动测试，手动计算）</w:t>
      </w:r>
      <w:bookmarkEnd w:id="0"/>
    </w:p>
    <w:p>
      <w:pPr>
        <w:pStyle w:val="4"/>
        <w:spacing w:before="260" w:after="120" w:line="288" w:lineRule="auto"/>
        <w:ind w:left="0"/>
        <w:jc w:val="left"/>
        <w:outlineLvl w:val="3"/>
      </w:pPr>
      <w:bookmarkStart w:name="heading_1" w:id="1"/>
      <w:r>
        <w:rPr>
          <w:rFonts w:eastAsia="等线" w:ascii="Arial" w:cs="Arial" w:hAnsi="Arial"/>
          <w:b w:val="true"/>
          <w:sz w:val="28"/>
        </w:rPr>
        <w:t>一. 测试背景与目的</w:t>
      </w:r>
      <w:bookmarkEnd w:id="1"/>
    </w:p>
    <w:p>
      <w:pPr>
        <w:spacing w:before="120" w:after="120" w:line="288" w:lineRule="auto"/>
        <w:ind w:left="0"/>
        <w:jc w:val="left"/>
      </w:pPr>
      <w:r>
        <w:rPr>
          <w:rFonts w:eastAsia="等线" w:ascii="Arial" w:cs="Arial" w:hAnsi="Arial"/>
          <w:sz w:val="22"/>
        </w:rPr>
        <w:t>方案2.0转向问题驱动测试：模拟真实用户自然语言提问，通过对话接口验证回复效果。不使用裁判模型，直接手动计算/判断开放问题和非开放问题的值（准确性）。</w:t>
      </w:r>
    </w:p>
    <w:p>
      <w:pPr>
        <w:spacing w:before="120" w:after="120" w:line="288" w:lineRule="auto"/>
        <w:ind w:left="0"/>
        <w:jc w:val="left"/>
      </w:pPr>
      <w:r>
        <w:rPr>
          <w:rFonts w:eastAsia="等线" w:ascii="Arial" w:cs="Arial" w:hAnsi="Arial"/>
          <w:b w:val="true"/>
          <w:sz w:val="22"/>
        </w:rPr>
        <w:t>测试目的</w:t>
      </w:r>
      <w:r>
        <w:rPr>
          <w:rFonts w:eastAsia="等线" w:ascii="Arial" w:cs="Arial" w:hAnsi="Arial"/>
          <w:sz w:val="22"/>
        </w:rPr>
        <w:t>：</w:t>
      </w:r>
    </w:p>
    <w:p>
      <w:pPr>
        <w:numPr>
          <w:numId w:val="1"/>
        </w:numPr>
        <w:spacing w:before="120" w:after="120" w:line="288" w:lineRule="auto"/>
        <w:ind w:left="0"/>
        <w:jc w:val="left"/>
      </w:pPr>
      <w:r>
        <w:rPr>
          <w:rFonts w:eastAsia="等线" w:ascii="Arial" w:cs="Arial" w:hAnsi="Arial"/>
          <w:sz w:val="22"/>
        </w:rPr>
        <w:t>评估智能体对不同类型问题的回复准确性（事实准、逻辑严、建议可行、无幻觉）。</w:t>
      </w:r>
    </w:p>
    <w:p>
      <w:pPr>
        <w:numPr>
          <w:numId w:val="2"/>
        </w:numPr>
        <w:spacing w:before="120" w:after="120" w:line="288" w:lineRule="auto"/>
        <w:ind w:left="0"/>
        <w:jc w:val="left"/>
      </w:pPr>
      <w:r>
        <w:rPr>
          <w:rFonts w:eastAsia="等线" w:ascii="Arial" w:cs="Arial" w:hAnsi="Arial"/>
          <w:sz w:val="22"/>
        </w:rPr>
        <w:t>验证从浅层事实查询到深度分析 + 建议的能力跃升。</w:t>
      </w:r>
    </w:p>
    <w:p>
      <w:pPr>
        <w:pStyle w:val="4"/>
        <w:spacing w:before="260" w:after="120" w:line="288" w:lineRule="auto"/>
        <w:ind w:left="0"/>
        <w:jc w:val="left"/>
        <w:outlineLvl w:val="3"/>
      </w:pPr>
      <w:bookmarkStart w:name="heading_2" w:id="2"/>
      <w:r>
        <w:rPr>
          <w:rFonts w:eastAsia="等线" w:ascii="Arial" w:cs="Arial" w:hAnsi="Arial"/>
          <w:b w:val="true"/>
          <w:sz w:val="28"/>
        </w:rPr>
        <w:t>二. 测试范围</w:t>
      </w:r>
      <w:bookmarkEnd w:id="2"/>
    </w:p>
    <w:p>
      <w:pPr>
        <w:numPr>
          <w:numId w:val="3"/>
        </w:numPr>
        <w:spacing w:before="120" w:after="120" w:line="288" w:lineRule="auto"/>
        <w:ind w:left="0"/>
        <w:jc w:val="left"/>
      </w:pPr>
      <w:r>
        <w:rPr>
          <w:rFonts w:eastAsia="等线" w:ascii="Arial" w:cs="Arial" w:hAnsi="Arial"/>
          <w:b w:val="true"/>
          <w:sz w:val="22"/>
        </w:rPr>
        <w:t>输入</w:t>
      </w:r>
      <w:r>
        <w:rPr>
          <w:rFonts w:eastAsia="等线" w:ascii="Arial" w:cs="Arial" w:hAnsi="Arial"/>
          <w:sz w:val="22"/>
        </w:rPr>
        <w:t>：构造问题集（</w:t>
      </w:r>
      <w:r>
        <w:rPr>
          <w:rFonts w:eastAsia="等线" w:ascii="Arial" w:cs="Arial" w:hAnsi="Arial"/>
          <w:sz w:val="22"/>
          <w:shd w:fill="fff67a"/>
        </w:rPr>
        <w:t>80-100个</w:t>
      </w:r>
      <w:r>
        <w:rPr>
          <w:rFonts w:eastAsia="等线" w:ascii="Arial" w:cs="Arial" w:hAnsi="Arial"/>
          <w:sz w:val="22"/>
        </w:rPr>
        <w:t>）。</w:t>
      </w:r>
    </w:p>
    <w:p>
      <w:pPr>
        <w:numPr>
          <w:numId w:val="4"/>
        </w:numPr>
        <w:spacing w:before="120" w:after="120" w:line="288" w:lineRule="auto"/>
        <w:ind w:left="0"/>
        <w:jc w:val="left"/>
      </w:pPr>
      <w:r>
        <w:rPr>
          <w:rFonts w:eastAsia="等线" w:ascii="Arial" w:cs="Arial" w:hAnsi="Arial"/>
          <w:b w:val="true"/>
          <w:sz w:val="22"/>
        </w:rPr>
        <w:t>方式</w:t>
      </w:r>
      <w:r>
        <w:rPr>
          <w:rFonts w:eastAsia="等线" w:ascii="Arial" w:cs="Arial" w:hAnsi="Arial"/>
          <w:sz w:val="22"/>
        </w:rPr>
        <w:t>：通过大模型对话接口输入问题，记录回复。</w:t>
      </w:r>
    </w:p>
    <w:p>
      <w:pPr>
        <w:numPr>
          <w:numId w:val="5"/>
        </w:numPr>
        <w:spacing w:before="120" w:after="120" w:line="288" w:lineRule="auto"/>
        <w:ind w:left="0"/>
        <w:jc w:val="left"/>
      </w:pPr>
      <w:r>
        <w:rPr>
          <w:rFonts w:eastAsia="等线" w:ascii="Arial" w:cs="Arial" w:hAnsi="Arial"/>
          <w:b w:val="true"/>
          <w:sz w:val="22"/>
        </w:rPr>
        <w:t>问题分类</w:t>
      </w:r>
      <w:r>
        <w:rPr>
          <w:rFonts w:eastAsia="等线" w:ascii="Arial" w:cs="Arial" w:hAnsi="Arial"/>
          <w:sz w:val="22"/>
        </w:rPr>
        <w:t>（两大类）：</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070"/>
        <w:gridCol w:w="2070"/>
        <w:gridCol w:w="2070"/>
        <w:gridCol w:w="2070"/>
      </w:tblGrid>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类型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定义与示例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数量建议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判断重点</w:t>
            </w: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非开放问题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客观事实查询，有明确标准答案（</w:t>
            </w:r>
            <w:r>
              <w:rPr>
                <w:rFonts w:eastAsia="等线" w:ascii="Arial" w:cs="Arial" w:hAnsi="Arial"/>
                <w:sz w:val="22"/>
                <w:shd w:fill="fff67a"/>
              </w:rPr>
              <w:t>数值/列表</w:t>
            </w:r>
            <w:r>
              <w:rPr>
                <w:rFonts w:eastAsia="等线" w:ascii="Arial" w:cs="Arial" w:hAnsi="Arial"/>
                <w:sz w:val="22"/>
              </w:rPr>
              <w:t>）。示例：“当前商机储备总额是多少？”“高风险商机Top3有哪些？”</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50-60个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准确性（事实匹配）</w:t>
            </w:r>
          </w:p>
          <w:p>
            <w:pPr>
              <w:spacing w:before="120" w:after="120" w:line="288" w:lineRule="auto"/>
              <w:ind w:left="0"/>
              <w:jc w:val="left"/>
            </w:pP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主观分析/根因/建议，需要推理。示例：“为什么商机缺口大？”“给出高风险商机缓解建议。”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30-40个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准确性（事实准 + 逻辑严 + 建议可行）</w:t>
            </w:r>
          </w:p>
          <w:p>
            <w:pPr>
              <w:spacing w:before="120" w:after="120" w:line="288" w:lineRule="auto"/>
              <w:ind w:left="0"/>
              <w:jc w:val="left"/>
            </w:pPr>
          </w:p>
        </w:tc>
      </w:tr>
    </w:tbl>
    <w:p>
      <w:pPr>
        <w:pStyle w:val="4"/>
        <w:spacing w:before="260" w:after="120" w:line="288" w:lineRule="auto"/>
        <w:ind w:left="0"/>
        <w:jc w:val="left"/>
        <w:outlineLvl w:val="3"/>
      </w:pPr>
      <w:bookmarkStart w:name="heading_3" w:id="3"/>
      <w:r>
        <w:rPr>
          <w:rFonts w:eastAsia="等线" w:ascii="Arial" w:cs="Arial" w:hAnsi="Arial"/>
          <w:b w:val="true"/>
          <w:sz w:val="28"/>
        </w:rPr>
        <w:t>三. 判断方法</w:t>
      </w:r>
      <w:bookmarkEnd w:id="3"/>
    </w:p>
    <w:p>
      <w:pPr>
        <w:spacing w:before="120" w:after="120" w:line="288" w:lineRule="auto"/>
        <w:ind w:left="0"/>
        <w:jc w:val="left"/>
      </w:pPr>
      <w:r>
        <w:rPr>
          <w:rFonts w:eastAsia="等线" w:ascii="Arial" w:cs="Arial" w:hAnsi="Arial"/>
          <w:b w:val="true"/>
          <w:sz w:val="22"/>
        </w:rPr>
        <w:t>不使用裁判模型</w:t>
      </w:r>
      <w:r>
        <w:rPr>
          <w:rFonts w:eastAsia="等线" w:ascii="Arial" w:cs="Arial" w:hAnsi="Arial"/>
          <w:sz w:val="22"/>
        </w:rPr>
        <w:t>，非开放问题直接手动计算回复值作为Ground Truth（基于完整的测试数据和字段计算路径），量化准确性。另外开放性问题待定。</w:t>
      </w:r>
    </w:p>
    <w:p>
      <w:pPr>
        <w:numPr>
          <w:numId w:val="6"/>
        </w:numPr>
        <w:spacing w:before="120" w:after="120" w:line="288" w:lineRule="auto"/>
        <w:ind w:left="0"/>
        <w:jc w:val="left"/>
      </w:pPr>
      <w:r>
        <w:rPr>
          <w:rFonts w:eastAsia="等线" w:ascii="Arial" w:cs="Arial" w:hAnsi="Arial"/>
          <w:b w:val="true"/>
          <w:sz w:val="22"/>
        </w:rPr>
        <w:t>非开放问题</w:t>
      </w:r>
      <w:r>
        <w:rPr>
          <w:rFonts w:eastAsia="等线" w:ascii="Arial" w:cs="Arial" w:hAnsi="Arial"/>
          <w:sz w:val="22"/>
        </w:rPr>
        <w:t>（客观，手动计算）：</w:t>
      </w:r>
    </w:p>
    <w:p>
      <w:pPr>
        <w:numPr>
          <w:numId w:val="7"/>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：预定义的Ground Truth（0或者1）。</w:t>
      </w:r>
    </w:p>
    <w:p>
      <w:pPr>
        <w:numPr>
          <w:numId w:val="8"/>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9"/>
        </w:numPr>
        <w:spacing w:before="120" w:after="120" w:line="288" w:lineRule="auto"/>
        <w:ind w:left="907"/>
        <w:jc w:val="left"/>
      </w:pPr>
      <w:r>
        <w:rPr>
          <w:rFonts w:eastAsia="等线" w:ascii="Arial" w:cs="Arial" w:hAnsi="Arial"/>
          <w:b w:val="true"/>
          <w:sz w:val="22"/>
        </w:rPr>
        <w:t>手动对比</w:t>
      </w:r>
      <w:r>
        <w:rPr>
          <w:rFonts w:eastAsia="等线" w:ascii="Arial" w:cs="Arial" w:hAnsi="Arial"/>
          <w:sz w:val="22"/>
        </w:rPr>
        <w:t>：拿经分智能体的回复跟Ground Truth的值进行对比，下面是给分标准：</w:t>
      </w:r>
    </w:p>
    <w:p>
      <w:pPr>
        <w:spacing w:before="120" w:after="120" w:line="288" w:lineRule="auto"/>
        <w:ind w:left="907"/>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907"/>
        <w:jc w:val="center"/>
      </w:pPr>
      <w:r>
        <w:rPr>
          <w:rFonts w:eastAsia="等线" w:ascii="Arial" w:cs="Arial" w:hAnsi="Arial"/>
          <w:b w:val="true"/>
          <w:sz w:val="22"/>
        </w:rPr>
        <w:t>点击图片可查看完整电子表格</w:t>
      </w:r>
    </w:p>
    <w:p>
      <w:pPr>
        <w:spacing w:before="120" w:after="120" w:line="288" w:lineRule="auto"/>
        <w:ind w:left="907"/>
        <w:jc w:val="left"/>
      </w:pPr>
      <w:r>
        <w:rPr>
          <w:rFonts w:eastAsia="等线" w:ascii="Arial" w:cs="Arial" w:hAnsi="Arial"/>
          <w:sz w:val="22"/>
        </w:rPr>
        <w:t>示例问题：“当前商机缺口是多少？”</w:t>
      </w:r>
    </w:p>
    <w:p>
      <w:pPr>
        <w:spacing w:before="120" w:after="120" w:line="288" w:lineRule="auto"/>
        <w:ind w:left="907"/>
      </w:pPr>
      <w:r>
        <w:object>
          <v:shape id="_x0000_i1026" style="width:414pt;height:171pt;mso-width-percent:0;mso-height-percent:0;mso-width-percent:0;mso-height-percent:0" type="#_x0000_t75" o:ole="">
            <v:imagedata r:id="rId8" o:title=""/>
          </v:shape>
          <o:OLEObject DrawAspect="Icon" ObjectID="_1718471220" ProgID="Excel.Sheet.12" ShapeID="_x0000_i1026" Type="Embed" r:id="rId7"/>
        </w:object>
      </w:r>
    </w:p>
    <w:p>
      <w:pPr>
        <w:spacing w:after="120"/>
        <w:ind w:left="907"/>
        <w:jc w:val="center"/>
      </w:pPr>
      <w:r>
        <w:rPr>
          <w:rFonts w:eastAsia="等线" w:ascii="Arial" w:cs="Arial" w:hAnsi="Arial"/>
          <w:b w:val="true"/>
          <w:sz w:val="22"/>
        </w:rPr>
        <w:t>点击图片可查看完整电子表格</w:t>
      </w:r>
    </w:p>
    <w:p>
      <w:pPr>
        <w:numPr>
          <w:numId w:val="10"/>
        </w:numPr>
        <w:spacing w:before="120" w:after="120" w:line="288" w:lineRule="auto"/>
        <w:ind w:left="0"/>
        <w:jc w:val="left"/>
      </w:pPr>
      <w:r>
        <w:rPr>
          <w:rFonts w:eastAsia="等线" w:ascii="Arial" w:cs="Arial" w:hAnsi="Arial"/>
          <w:b w:val="true"/>
          <w:sz w:val="22"/>
        </w:rPr>
        <w:t>开放问题</w:t>
      </w:r>
      <w:r>
        <w:rPr>
          <w:rFonts w:eastAsia="等线" w:ascii="Arial" w:cs="Arial" w:hAnsi="Arial"/>
          <w:sz w:val="22"/>
        </w:rPr>
        <w:t>（主观，手动计算）：</w:t>
      </w:r>
    </w:p>
    <w:p>
      <w:pPr>
        <w:numPr>
          <w:numId w:val="11"/>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：预定义参考框架（事实正确 + 逻辑严谨 + 无幻觉 + 建议可行），下面是预定义框架。</w:t>
      </w:r>
    </w:p>
    <w:p>
      <w:pPr>
        <w:spacing w:before="120" w:after="120" w:line="288" w:lineRule="auto"/>
        <w:ind w:left="453"/>
      </w:pPr>
      <w:r>
        <w:object>
          <v:shape id="_x0000_i1027" style="width:414pt;height:158pt;mso-width-percent:0;mso-height-percent:0;mso-width-percent:0;mso-height-percent:0" type="#_x0000_t75" o:ole="">
            <v:imagedata r:id="rId10" o:title=""/>
          </v:shape>
          <o:OLEObject DrawAspect="Icon" ObjectID="_1718471221" ProgID="Excel.Sheet.12" ShapeID="_x0000_i1027" Type="Embed" r:id="rId9"/>
        </w:object>
      </w:r>
    </w:p>
    <w:p>
      <w:pPr>
        <w:spacing w:after="120"/>
        <w:ind w:left="453"/>
        <w:jc w:val="center"/>
      </w:pPr>
      <w:r>
        <w:rPr>
          <w:rFonts w:eastAsia="等线" w:ascii="Arial" w:cs="Arial" w:hAnsi="Arial"/>
          <w:b w:val="true"/>
          <w:sz w:val="22"/>
        </w:rPr>
        <w:t>点击图片可查看完整电子表格</w:t>
      </w:r>
    </w:p>
    <w:p>
      <w:pPr>
        <w:numPr>
          <w:numId w:val="12"/>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13"/>
        </w:numPr>
        <w:spacing w:before="120" w:after="120" w:line="288" w:lineRule="auto"/>
        <w:ind w:left="907"/>
        <w:jc w:val="left"/>
      </w:pPr>
      <w:r>
        <w:rPr>
          <w:rFonts w:eastAsia="等线" w:ascii="Arial" w:cs="Arial" w:hAnsi="Arial"/>
          <w:b w:val="true"/>
          <w:sz w:val="22"/>
        </w:rPr>
        <w:t>手动检查事实</w:t>
      </w:r>
      <w:r>
        <w:rPr>
          <w:rFonts w:eastAsia="等线" w:ascii="Arial" w:cs="Arial" w:hAnsi="Arial"/>
          <w:sz w:val="22"/>
        </w:rPr>
        <w:t>：引用数据/项目/关系是否匹配输入数据（缺口18,641.94万元对不对？Top3负责人XXX等对不对？）。</w:t>
      </w:r>
    </w:p>
    <w:p>
      <w:pPr>
        <w:numPr>
          <w:numId w:val="14"/>
        </w:numPr>
        <w:spacing w:before="120" w:after="120" w:line="288" w:lineRule="auto"/>
        <w:ind w:left="907"/>
        <w:jc w:val="left"/>
      </w:pPr>
      <w:r>
        <w:rPr>
          <w:rFonts w:eastAsia="等线" w:ascii="Arial" w:cs="Arial" w:hAnsi="Arial"/>
          <w:b w:val="true"/>
          <w:sz w:val="22"/>
        </w:rPr>
        <w:t>手动检查逻辑</w:t>
      </w:r>
      <w:r>
        <w:rPr>
          <w:rFonts w:eastAsia="等线" w:ascii="Arial" w:cs="Arial" w:hAnsi="Arial"/>
          <w:sz w:val="22"/>
        </w:rPr>
        <w:t>：根因推理是否沿本体关系路径（ 高风险 → 进程低 → 缺口大）。</w:t>
      </w:r>
    </w:p>
    <w:p>
      <w:pPr>
        <w:numPr>
          <w:numId w:val="15"/>
        </w:numPr>
        <w:spacing w:before="120" w:after="120" w:line="288" w:lineRule="auto"/>
        <w:ind w:left="907"/>
        <w:jc w:val="left"/>
      </w:pPr>
      <w:r>
        <w:rPr>
          <w:rFonts w:eastAsia="等线" w:ascii="Arial" w:cs="Arial" w:hAnsi="Arial"/>
          <w:b w:val="true"/>
          <w:sz w:val="22"/>
        </w:rPr>
        <w:t>手动检查建议</w:t>
      </w:r>
      <w:r>
        <w:rPr>
          <w:rFonts w:eastAsia="等线" w:ascii="Arial" w:cs="Arial" w:hAnsi="Arial"/>
          <w:sz w:val="22"/>
        </w:rPr>
        <w:t xml:space="preserve">：是否具体/可行（有谁/做什么/预期）-- </w:t>
      </w:r>
      <w:r>
        <w:rPr>
          <w:rFonts w:eastAsia="等线" w:ascii="Arial" w:cs="Arial" w:hAnsi="Arial"/>
          <w:sz w:val="22"/>
          <w:shd w:fill="fff67a"/>
        </w:rPr>
        <w:t>暂定</w:t>
      </w:r>
      <w:r>
        <w:rPr>
          <w:rFonts w:eastAsia="等线" w:ascii="Arial" w:cs="Arial" w:hAnsi="Arial"/>
          <w:sz w:val="22"/>
        </w:rPr>
        <w:t>。</w:t>
      </w:r>
    </w:p>
    <w:p>
      <w:pPr>
        <w:numPr>
          <w:numId w:val="16"/>
        </w:numPr>
        <w:spacing w:before="120" w:after="120" w:line="288" w:lineRule="auto"/>
        <w:ind w:left="907"/>
        <w:jc w:val="left"/>
      </w:pPr>
      <w:r>
        <w:rPr>
          <w:rFonts w:eastAsia="等线" w:ascii="Arial" w:cs="Arial" w:hAnsi="Arial"/>
          <w:b w:val="true"/>
          <w:sz w:val="22"/>
        </w:rPr>
        <w:t>手动检查完整</w:t>
      </w:r>
      <w:r>
        <w:rPr>
          <w:rFonts w:eastAsia="等线" w:ascii="Arial" w:cs="Arial" w:hAnsi="Arial"/>
          <w:sz w:val="22"/>
        </w:rPr>
        <w:t>：覆盖问题关键点（根因 + 数据 + 建议），下面是给分标准。</w:t>
      </w:r>
    </w:p>
    <w:p>
      <w:pPr>
        <w:spacing w:before="120" w:after="120" w:line="288" w:lineRule="auto"/>
        <w:ind w:left="907"/>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907"/>
        <w:jc w:val="center"/>
      </w:pPr>
      <w:r>
        <w:rPr>
          <w:rFonts w:eastAsia="等线" w:ascii="Arial" w:cs="Arial" w:hAnsi="Arial"/>
          <w:b w:val="true"/>
          <w:sz w:val="22"/>
        </w:rPr>
        <w:t>点击图片可查看完整电子表格</w:t>
      </w:r>
    </w:p>
    <w:p>
      <w:pPr>
        <w:numPr>
          <w:numId w:val="17"/>
        </w:numPr>
        <w:spacing w:before="120" w:after="120" w:line="288" w:lineRule="auto"/>
        <w:ind w:left="453"/>
        <w:jc w:val="left"/>
      </w:pPr>
      <w:r>
        <w:rPr>
          <w:rFonts w:eastAsia="等线" w:ascii="Arial" w:cs="Arial" w:hAnsi="Arial"/>
          <w:sz w:val="22"/>
        </w:rPr>
        <w:t>示例（深度分析 + 建议能力展示，汇报时直观）：</w:t>
      </w:r>
    </w:p>
    <w:p>
      <w:pPr>
        <w:spacing w:before="120" w:after="120" w:line="288" w:lineRule="auto"/>
        <w:ind w:left="0"/>
        <w:jc w:val="left"/>
      </w:pPr>
      <w:r>
        <w:rPr>
          <w:rFonts w:eastAsia="等线" w:ascii="Arial" w:cs="Arial" w:hAnsi="Arial"/>
          <w:b w:val="true"/>
          <w:sz w:val="22"/>
        </w:rPr>
        <w:t>深度分析 + 建议能力示例</w:t>
      </w:r>
      <w:r>
        <w:rPr>
          <w:rFonts w:eastAsia="等线" w:ascii="Arial" w:cs="Arial" w:hAnsi="Arial"/>
          <w:sz w:val="22"/>
        </w:rPr>
        <w:t>（典型开放问题回复，手动判断准确性）：</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3480"/>
        <w:gridCol w:w="1560"/>
        <w:gridCol w:w="1560"/>
      </w:tblGrid>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问题示例</w:t>
            </w: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智能体回复（示例）</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准确性手动计算（对不对）</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说明</w:t>
            </w: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深度分析</w:t>
            </w:r>
            <w:r>
              <w:rPr>
                <w:rFonts w:eastAsia="等线" w:ascii="Arial" w:cs="Arial" w:hAnsi="Arial"/>
                <w:sz w:val="22"/>
              </w:rPr>
              <w:t>：缺口18,641.94万元，主要因高进程占比低（&lt;50%） + 高风险项目多（时间/竞争风险为主）。根因：Top3高风险项目进程滞后（40%/80%/20%），赢单率低（40%/80%/19%）。</w:t>
            </w:r>
          </w:p>
          <w:p>
            <w:pPr>
              <w:spacing w:before="120" w:after="120" w:line="288" w:lineRule="auto"/>
              <w:ind w:left="0"/>
              <w:jc w:val="left"/>
            </w:pPr>
            <w:r>
              <w:rPr>
                <w:rFonts w:eastAsia="等线" w:ascii="Arial" w:cs="Arial" w:hAnsi="Arial"/>
                <w:b w:val="true"/>
                <w:sz w:val="22"/>
              </w:rPr>
              <w:t>数据支撑</w:t>
            </w:r>
            <w:r>
              <w:rPr>
                <w:rFonts w:eastAsia="等线" w:ascii="Arial" w:cs="Arial" w:hAnsi="Arial"/>
                <w:sz w:val="22"/>
              </w:rPr>
              <w:t>：高风险Top3预计毛利908/780/775万元，风险维度时间/竞争/技术/财务风险。</w:t>
            </w:r>
          </w:p>
          <w:p>
            <w:pPr>
              <w:spacing w:before="120" w:after="120" w:line="288" w:lineRule="auto"/>
              <w:ind w:left="0"/>
              <w:jc w:val="left"/>
            </w:pPr>
            <w:r>
              <w:rPr>
                <w:rFonts w:eastAsia="等线" w:ascii="Arial" w:cs="Arial" w:hAnsi="Arial"/>
                <w:b w:val="true"/>
                <w:sz w:val="22"/>
              </w:rPr>
              <w:t>建议行动</w:t>
            </w:r>
            <w:r>
              <w:rPr>
                <w:rFonts w:eastAsia="等线" w:ascii="Arial" w:cs="Arial" w:hAnsi="Arial"/>
                <w:sz w:val="22"/>
              </w:rPr>
              <w:t>：1. 优先联系U004刘洋/U002李明/U006杨帆推进进程（目标60%+）。2. 补高赢单率商机（&gt;65%），预计覆盖30%。3. 调整费用支持市场跟进。4. 下周复盘监控支撑度。</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准确</w:t>
            </w:r>
            <w:r>
              <w:rPr>
                <w:rFonts w:eastAsia="等线" w:ascii="Arial" w:cs="Arial" w:hAnsi="Arial"/>
                <w:sz w:val="22"/>
              </w:rPr>
              <w:t>（得分大于4.5）：事实准（数值）、逻辑严谨（路径对）、无幻觉、建议可行（具体行动）。</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手动检查输入数据/关系路径。</w:t>
            </w:r>
          </w:p>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缺口大主要是因为风险高，建议大家多努力补商机。</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不对</w:t>
            </w:r>
            <w:r>
              <w:rPr>
                <w:rFonts w:eastAsia="等线" w:ascii="Arial" w:cs="Arial" w:hAnsi="Arial"/>
                <w:sz w:val="22"/>
              </w:rPr>
              <w:t>（准确性&lt;60%）：事实浅（无数据）、逻辑乱、幻觉风险、建议空洞。</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手动检查输入数据：漏数据支撑/具体行动（用户不满意）。</w:t>
            </w:r>
          </w:p>
        </w:tc>
      </w:tr>
    </w:tbl>
    <w:p>
      <w:pPr>
        <w:pStyle w:val="4"/>
        <w:spacing w:before="260" w:after="120" w:line="288" w:lineRule="auto"/>
        <w:ind w:left="0"/>
        <w:jc w:val="left"/>
        <w:outlineLvl w:val="3"/>
      </w:pPr>
      <w:bookmarkStart w:name="heading_4" w:id="4"/>
      <w:r>
        <w:rPr>
          <w:rFonts w:eastAsia="等线" w:ascii="Arial" w:cs="Arial" w:hAnsi="Arial"/>
          <w:b w:val="true"/>
          <w:sz w:val="28"/>
        </w:rPr>
        <w:t>四. 测试指标</w:t>
      </w:r>
      <w:bookmarkEnd w:id="4"/>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560"/>
        <w:gridCol w:w="1680"/>
        <w:gridCol w:w="1680"/>
        <w:gridCol w:w="1680"/>
        <w:gridCol w:w="1680"/>
      </w:tblGrid>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指标名称</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计算方式</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目标阈值</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适用问题类型</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回复的对不对</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每条问题1-5分专家平均分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平均≥4.5分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 + 非开放</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一致性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相同问题多次运行输出相同</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20次运行零差异率</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100%</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两者均适用</w:t>
            </w:r>
          </w:p>
        </w:tc>
      </w:tr>
    </w:tbl>
    <w:p>
      <w:pPr>
        <w:numPr>
          <w:numId w:val="18"/>
        </w:numPr>
        <w:spacing w:before="120" w:after="120" w:line="288" w:lineRule="auto"/>
        <w:ind w:left="0"/>
        <w:jc w:val="left"/>
      </w:pPr>
      <w:r>
        <w:rPr>
          <w:rFonts w:eastAsia="等线" w:ascii="Arial" w:cs="Arial" w:hAnsi="Arial"/>
          <w:b w:val="true"/>
          <w:sz w:val="22"/>
        </w:rPr>
        <w:t>综合通过</w:t>
      </w:r>
      <w:r>
        <w:rPr>
          <w:rFonts w:eastAsia="等线" w:ascii="Arial" w:cs="Arial" w:hAnsi="Arial"/>
          <w:sz w:val="22"/>
        </w:rPr>
        <w:t>：准确性≥4.5分 + 一致性100% 。</w:t>
      </w:r>
    </w:p>
    <w:p>
      <w:pPr>
        <w:pStyle w:val="4"/>
        <w:spacing w:before="260" w:after="120" w:line="288" w:lineRule="auto"/>
        <w:ind w:left="0"/>
        <w:jc w:val="left"/>
        <w:outlineLvl w:val="3"/>
      </w:pPr>
      <w:bookmarkStart w:name="heading_5" w:id="5"/>
      <w:r>
        <w:rPr>
          <w:rFonts w:eastAsia="等线" w:ascii="Arial" w:cs="Arial" w:hAnsi="Arial"/>
          <w:b w:val="true"/>
          <w:sz w:val="28"/>
        </w:rPr>
        <w:t>五. 测试执行流程</w:t>
      </w:r>
      <w:bookmarkEnd w:id="5"/>
    </w:p>
    <w:p>
      <w:pPr>
        <w:numPr>
          <w:numId w:val="19"/>
        </w:numPr>
        <w:spacing w:before="120" w:after="120" w:line="288" w:lineRule="auto"/>
        <w:ind w:left="0"/>
        <w:jc w:val="left"/>
      </w:pPr>
      <w:r>
        <w:rPr>
          <w:rFonts w:eastAsia="等线" w:ascii="Arial" w:cs="Arial" w:hAnsi="Arial"/>
          <w:b w:val="true"/>
          <w:sz w:val="22"/>
        </w:rPr>
        <w:t>问题集构造</w:t>
      </w:r>
      <w:r>
        <w:rPr>
          <w:rFonts w:eastAsia="等线" w:ascii="Arial" w:cs="Arial" w:hAnsi="Arial"/>
          <w:sz w:val="22"/>
        </w:rPr>
        <w:t>：构造80-100个问题（覆盖业务全链，包括非开放和开放问题），确保问题多样性（简单事实查询到深度分析 + 建议），并预定义每个问题的Ground Truth或参考框架。</w:t>
      </w:r>
    </w:p>
    <w:p>
      <w:pPr>
        <w:numPr>
          <w:numId w:val="20"/>
        </w:numPr>
        <w:spacing w:before="120" w:after="120" w:line="288" w:lineRule="auto"/>
        <w:ind w:left="0"/>
        <w:jc w:val="left"/>
      </w:pPr>
      <w:r>
        <w:rPr>
          <w:rFonts w:eastAsia="等线" w:ascii="Arial" w:cs="Arial" w:hAnsi="Arial"/>
          <w:b w:val="true"/>
          <w:sz w:val="22"/>
        </w:rPr>
        <w:t>测试运行</w:t>
      </w:r>
      <w:r>
        <w:rPr>
          <w:rFonts w:eastAsia="等线" w:ascii="Arial" w:cs="Arial" w:hAnsi="Arial"/>
          <w:sz w:val="22"/>
        </w:rPr>
        <w:t>：通过大模型对话接口逐一输入问题，记录完整回复内容（文本/看板），并保存日志（暂定-包括输入时间、回复时间、完整输出）。</w:t>
      </w:r>
    </w:p>
    <w:p>
      <w:pPr>
        <w:numPr>
          <w:numId w:val="21"/>
        </w:numPr>
        <w:spacing w:before="120" w:after="120" w:line="288" w:lineRule="auto"/>
        <w:ind w:left="0"/>
        <w:jc w:val="left"/>
      </w:pPr>
      <w:r>
        <w:rPr>
          <w:rFonts w:eastAsia="等线" w:ascii="Arial" w:cs="Arial" w:hAnsi="Arial"/>
          <w:b w:val="true"/>
          <w:sz w:val="22"/>
        </w:rPr>
        <w:t>结果验证</w:t>
      </w:r>
      <w:r>
        <w:rPr>
          <w:rFonts w:eastAsia="等线" w:ascii="Arial" w:cs="Arial" w:hAnsi="Arial"/>
          <w:sz w:val="22"/>
        </w:rPr>
        <w:t>：手动计算准确性（非开放问题对比Ground Truth，开放问题按参考框架检查事实/逻辑/建议/完整），专家打分量化（1-5分平均），记录异常回复。</w:t>
      </w:r>
    </w:p>
    <w:p>
      <w:pPr>
        <w:numPr>
          <w:numId w:val="22"/>
        </w:numPr>
        <w:spacing w:before="120" w:after="120" w:line="288" w:lineRule="auto"/>
        <w:ind w:left="0"/>
        <w:jc w:val="left"/>
      </w:pPr>
      <w:r>
        <w:rPr>
          <w:rFonts w:eastAsia="等线" w:ascii="Arial" w:cs="Arial" w:hAnsi="Arial"/>
          <w:b w:val="true"/>
          <w:sz w:val="22"/>
        </w:rPr>
        <w:t>测试报告</w:t>
      </w:r>
      <w:r>
        <w:rPr>
          <w:rFonts w:eastAsia="等线" w:ascii="Arial" w:cs="Arial" w:hAnsi="Arial"/>
          <w:sz w:val="22"/>
        </w:rPr>
        <w:t>：统计指标数据（表格呈现准确性/一致性结果），附好坏回复对比示例（汇报直观），并分析优化建议。</w:t>
      </w:r>
    </w:p>
    <w:p>
      <w:pPr>
        <w:pStyle w:val="4"/>
        <w:spacing w:before="260" w:after="120" w:line="288" w:lineRule="auto"/>
        <w:ind w:left="0"/>
        <w:jc w:val="left"/>
        <w:outlineLvl w:val="3"/>
      </w:pPr>
      <w:bookmarkStart w:name="heading_6" w:id="6"/>
      <w:bookmarkEnd w:id="6"/>
    </w:p>
    <w:p>
      <w:pPr>
        <w:spacing w:before="120" w:after="120" w:line="288" w:lineRule="auto"/>
        <w:ind w:left="0"/>
        <w:jc w:val="left"/>
      </w:pPr>
    </w:p>
    <w:p>
      <w:r>
        <w:br w:type="page"/>
      </w:r>
    </w:p>
    <w:p>
      <w:r>
        <w:rPr>
          <w:b/>
          <w:sz w:val="32"/>
        </w:rPr>
        <w:t>附录：开放问题评估与打分标准（LLM-as-a-Judge 自动化打分法）</w:t>
      </w:r>
    </w:p>
    <w:p>
      <w:r>
        <w:t xml:space="preserve">鉴于大模型（智能体）的输出为自由文本，且通常不会严格按照设定的“三段式”固定格式输出。为保证评分的客观性、一致性与高效性，测试方案引入 </w:t>
      </w:r>
      <w:r>
        <w:rPr>
          <w:b/>
        </w:rPr>
        <w:t>LLM-as-a-Judge（用大模型当裁判）</w:t>
      </w:r>
      <w:r>
        <w:t xml:space="preserve"> 的自动化评分机制。</w:t>
      </w:r>
    </w:p>
    <w:p>
      <w:r>
        <w:rPr>
          <w:b/>
          <w:sz w:val="28"/>
        </w:rPr>
        <w:t>1. 核心评估理念</w:t>
      </w:r>
    </w:p>
    <w:p>
      <w:r>
        <w:t>评分时忽略智能体回答的排版格式（如是否带小标题），纯看其生成的语义是否涵盖了基准答案中的三大核心考核点：</w:t>
        <w:br/>
        <w:t>• 事实与数据层：是否找对底层数据，有无幻觉。</w:t>
        <w:br/>
        <w:t>• 归纳与分析层：是否把数据转化为业务洞察。</w:t>
        <w:br/>
        <w:t>• 落地与建议层：是否给出可执行的管理建议。</w:t>
      </w:r>
    </w:p>
    <w:p>
      <w:r>
        <w:rPr>
          <w:b/>
          <w:sz w:val="28"/>
        </w:rPr>
        <w:t>2. LLM 裁判指令 (Prompt) 模板</w:t>
      </w:r>
    </w:p>
    <w:p>
      <w:r>
        <w:rPr>
          <w:rFonts w:ascii="Courier New" w:hAnsi="Courier New"/>
          <w:sz w:val="20"/>
        </w:rPr>
        <w:t>【系统设定】</w:t>
        <w:br/>
        <w:t>你是一个资深的企业经营分析总监，现在你需要给实习生（经分智能体）生成的业务分析报告打分。</w:t>
        <w:br/>
        <w:br/>
        <w:t>【输入信息】</w:t>
        <w:br/>
        <w:t>1. 用户提问：[测试用例中的开放问题]</w:t>
        <w:br/>
        <w:t>2. 参考基准答案：[测试方案中提供的带数据和建议的三段式标准答案]</w:t>
        <w:br/>
        <w:t>3. 智能体实际回答：[被测经分智能体生成的实际长文本]</w:t>
        <w:br/>
        <w:br/>
        <w:t>【打分规则（满分 5 分）】</w:t>
        <w:br/>
        <w:t>请忽略智能体回答的排版格式，纯看语义是否涵盖了基准答案的核心考点：</w:t>
        <w:br/>
        <w:t>- 准确性（2分）：实际回答中引用的业务数据、数值和客户名称，是否与基准答案一致，有无编造（幻觉）？</w:t>
        <w:br/>
        <w:t>- 洞察力（1.5分）：实际回答是否指出了基准答案中提到的业务痛点或现象根因？</w:t>
        <w:br/>
        <w:t>- 建议有效性（1.5分）：实际回答是否给出了与基准答案方向一致或同样具有业务指导意义的管理建议？</w:t>
        <w:br/>
        <w:br/>
        <w:t>【输出格式】</w:t>
        <w:br/>
        <w:t>1. 得分：[X / 5分]</w:t>
        <w:br/>
        <w:t>2. 扣分理由：（如果满分则填“涵盖全面，数据精准”）</w:t>
      </w:r>
    </w:p>
    <w:p>
      <w:r>
        <w:rPr>
          <w:b/>
          <w:sz w:val="28"/>
        </w:rPr>
        <w:t>3. 自动化测试实施路径</w:t>
      </w:r>
    </w:p>
    <w:p>
      <w:r>
        <w:t>步骤一：通过 RPA 脚本或 API 批量拉取智能体对 80 道开放题的实际回答，并落盘至 result.xlsx 的“智能体回复”列。</w:t>
      </w:r>
    </w:p>
    <w:p>
      <w:r>
        <w:t>步骤二：编写评测脚本，循环读取“问题 + 标准答案 + 智能体回复”，将其拼接到上述 Prompt 模板中。</w:t>
      </w:r>
    </w:p>
    <w:p>
      <w:r>
        <w:t>步骤三：调用更高阶的大模型（如 GPT-4o 或 Claude 3.5 Sonnet）接口，让其以裁判身份输出分数与扣分理由。</w:t>
      </w:r>
    </w:p>
    <w:p>
      <w:r>
        <w:t>步骤四：汇总分数，计算整体平均分以及“准确性、洞察力、建议”等细分维度的达标率。</w:t>
      </w:r>
    </w:p>
    <w:sectPr>
      <w:footerReference w:type="default" r:id="rId3"/>
      <w:headerReference w:type="default" r:id="rId1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8235">
    <w:lvl>
      <w:numFmt w:val="bullet"/>
      <w:suff w:val="tab"/>
      <w:lvlText w:val="•"/>
      <w:rPr>
        <w:color w:val="3370ff"/>
      </w:rPr>
    </w:lvl>
  </w:abstractNum>
  <w:abstractNum w:abstractNumId="68236">
    <w:lvl>
      <w:numFmt w:val="bullet"/>
      <w:suff w:val="tab"/>
      <w:lvlText w:val="•"/>
      <w:rPr>
        <w:color w:val="3370ff"/>
      </w:rPr>
    </w:lvl>
  </w:abstractNum>
  <w:abstractNum w:abstractNumId="68237">
    <w:lvl>
      <w:numFmt w:val="bullet"/>
      <w:suff w:val="tab"/>
      <w:lvlText w:val="•"/>
      <w:rPr>
        <w:color w:val="3370ff"/>
      </w:rPr>
    </w:lvl>
  </w:abstractNum>
  <w:abstractNum w:abstractNumId="68238">
    <w:lvl>
      <w:numFmt w:val="bullet"/>
      <w:suff w:val="tab"/>
      <w:lvlText w:val="•"/>
      <w:rPr>
        <w:color w:val="3370ff"/>
      </w:rPr>
    </w:lvl>
  </w:abstractNum>
  <w:abstractNum w:abstractNumId="68239">
    <w:lvl>
      <w:numFmt w:val="bullet"/>
      <w:suff w:val="tab"/>
      <w:lvlText w:val="•"/>
      <w:rPr>
        <w:color w:val="3370ff"/>
      </w:rPr>
    </w:lvl>
  </w:abstractNum>
  <w:abstractNum w:abstractNumId="68240">
    <w:lvl>
      <w:numFmt w:val="bullet"/>
      <w:suff w:val="tab"/>
      <w:lvlText w:val="•"/>
      <w:rPr>
        <w:color w:val="3370ff"/>
      </w:rPr>
    </w:lvl>
  </w:abstractNum>
  <w:abstractNum w:abstractNumId="68241">
    <w:lvl>
      <w:numFmt w:val="bullet"/>
      <w:suff w:val="tab"/>
      <w:lvlText w:val="￮"/>
      <w:rPr>
        <w:color w:val="3370ff"/>
      </w:rPr>
    </w:lvl>
  </w:abstractNum>
  <w:abstractNum w:abstractNumId="68242">
    <w:lvl>
      <w:numFmt w:val="bullet"/>
      <w:suff w:val="tab"/>
      <w:lvlText w:val="￮"/>
      <w:rPr>
        <w:color w:val="3370ff"/>
      </w:rPr>
    </w:lvl>
  </w:abstractNum>
  <w:abstractNum w:abstractNumId="68243">
    <w:lvl>
      <w:numFmt w:val="bullet"/>
      <w:suff w:val="tab"/>
      <w:lvlText w:val="▪"/>
      <w:rPr>
        <w:color w:val="3370ff"/>
        <w:sz w:val="11"/>
      </w:rPr>
    </w:lvl>
  </w:abstractNum>
  <w:abstractNum w:abstractNumId="68244">
    <w:lvl>
      <w:numFmt w:val="bullet"/>
      <w:suff w:val="tab"/>
      <w:lvlText w:val="•"/>
      <w:rPr>
        <w:color w:val="3370ff"/>
      </w:rPr>
    </w:lvl>
  </w:abstractNum>
  <w:abstractNum w:abstractNumId="68245">
    <w:lvl>
      <w:numFmt w:val="bullet"/>
      <w:suff w:val="tab"/>
      <w:lvlText w:val="￮"/>
      <w:rPr>
        <w:color w:val="3370ff"/>
      </w:rPr>
    </w:lvl>
  </w:abstractNum>
  <w:abstractNum w:abstractNumId="68246">
    <w:lvl>
      <w:numFmt w:val="bullet"/>
      <w:suff w:val="tab"/>
      <w:lvlText w:val="￮"/>
      <w:rPr>
        <w:color w:val="3370ff"/>
      </w:rPr>
    </w:lvl>
  </w:abstractNum>
  <w:abstractNum w:abstractNumId="68247">
    <w:lvl>
      <w:numFmt w:val="bullet"/>
      <w:suff w:val="tab"/>
      <w:lvlText w:val="▪"/>
      <w:rPr>
        <w:color w:val="3370ff"/>
        <w:sz w:val="11"/>
      </w:rPr>
    </w:lvl>
  </w:abstractNum>
  <w:abstractNum w:abstractNumId="68248">
    <w:lvl>
      <w:numFmt w:val="bullet"/>
      <w:suff w:val="tab"/>
      <w:lvlText w:val="▪"/>
      <w:rPr>
        <w:color w:val="3370ff"/>
        <w:sz w:val="11"/>
      </w:rPr>
    </w:lvl>
  </w:abstractNum>
  <w:abstractNum w:abstractNumId="68249">
    <w:lvl>
      <w:numFmt w:val="bullet"/>
      <w:suff w:val="tab"/>
      <w:lvlText w:val="▪"/>
      <w:rPr>
        <w:color w:val="3370ff"/>
        <w:sz w:val="11"/>
      </w:rPr>
    </w:lvl>
  </w:abstractNum>
  <w:abstractNum w:abstractNumId="68250">
    <w:lvl>
      <w:numFmt w:val="bullet"/>
      <w:suff w:val="tab"/>
      <w:lvlText w:val="▪"/>
      <w:rPr>
        <w:color w:val="3370ff"/>
        <w:sz w:val="11"/>
      </w:rPr>
    </w:lvl>
  </w:abstractNum>
  <w:abstractNum w:abstractNumId="68251">
    <w:lvl>
      <w:numFmt w:val="bullet"/>
      <w:suff w:val="tab"/>
      <w:lvlText w:val="￮"/>
      <w:rPr>
        <w:color w:val="3370ff"/>
      </w:rPr>
    </w:lvl>
  </w:abstractNum>
  <w:abstractNum w:abstractNumId="68252">
    <w:lvl>
      <w:numFmt w:val="bullet"/>
      <w:suff w:val="tab"/>
      <w:lvlText w:val="•"/>
      <w:rPr>
        <w:color w:val="3370ff"/>
      </w:rPr>
    </w:lvl>
  </w:abstractNum>
  <w:abstractNum w:abstractNumId="68253">
    <w:lvl>
      <w:numFmt w:val="bullet"/>
      <w:suff w:val="tab"/>
      <w:lvlText w:val="•"/>
      <w:rPr>
        <w:color w:val="3370ff"/>
      </w:rPr>
    </w:lvl>
  </w:abstractNum>
  <w:abstractNum w:abstractNumId="68254">
    <w:lvl>
      <w:numFmt w:val="bullet"/>
      <w:suff w:val="tab"/>
      <w:lvlText w:val="•"/>
      <w:rPr>
        <w:color w:val="3370ff"/>
      </w:rPr>
    </w:lvl>
  </w:abstractNum>
  <w:abstractNum w:abstractNumId="68255">
    <w:lvl>
      <w:numFmt w:val="bullet"/>
      <w:suff w:val="tab"/>
      <w:lvlText w:val="•"/>
      <w:rPr>
        <w:color w:val="3370ff"/>
      </w:rPr>
    </w:lvl>
  </w:abstractNum>
  <w:abstractNum w:abstractNumId="68256">
    <w:lvl>
      <w:numFmt w:val="bullet"/>
      <w:suff w:val="tab"/>
      <w:lvlText w:val="•"/>
      <w:rPr>
        <w:color w:val="3370ff"/>
      </w:rPr>
    </w:lvl>
  </w:abstractNum>
  <w:num w:numId="1">
    <w:abstractNumId w:val="68235"/>
  </w:num>
  <w:num w:numId="2">
    <w:abstractNumId w:val="68236"/>
  </w:num>
  <w:num w:numId="3">
    <w:abstractNumId w:val="68237"/>
  </w:num>
  <w:num w:numId="4">
    <w:abstractNumId w:val="68238"/>
  </w:num>
  <w:num w:numId="5">
    <w:abstractNumId w:val="68239"/>
  </w:num>
  <w:num w:numId="6">
    <w:abstractNumId w:val="68240"/>
  </w:num>
  <w:num w:numId="7">
    <w:abstractNumId w:val="68241"/>
  </w:num>
  <w:num w:numId="8">
    <w:abstractNumId w:val="68242"/>
  </w:num>
  <w:num w:numId="9">
    <w:abstractNumId w:val="68243"/>
  </w:num>
  <w:num w:numId="10">
    <w:abstractNumId w:val="68244"/>
  </w:num>
  <w:num w:numId="11">
    <w:abstractNumId w:val="68245"/>
  </w:num>
  <w:num w:numId="12">
    <w:abstractNumId w:val="68246"/>
  </w:num>
  <w:num w:numId="13">
    <w:abstractNumId w:val="68247"/>
  </w:num>
  <w:num w:numId="14">
    <w:abstractNumId w:val="68248"/>
  </w:num>
  <w:num w:numId="15">
    <w:abstractNumId w:val="68249"/>
  </w:num>
  <w:num w:numId="16">
    <w:abstractNumId w:val="68250"/>
  </w:num>
  <w:num w:numId="17">
    <w:abstractNumId w:val="68251"/>
  </w:num>
  <w:num w:numId="18">
    <w:abstractNumId w:val="68252"/>
  </w:num>
  <w:num w:numId="19">
    <w:abstractNumId w:val="68253"/>
  </w:num>
  <w:num w:numId="20">
    <w:abstractNumId w:val="68254"/>
  </w:num>
  <w:num w:numId="21">
    <w:abstractNumId w:val="68255"/>
  </w:num>
  <w:num w:numId="22">
    <w:abstractNumId w:val="6825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3.png"/><Relationship Id="rId11" Type="http://schemas.openxmlformats.org/officeDocument/2006/relationships/package" Target="embeddings/Microsoft_Excel_Worksheet4.xlsx"/><Relationship Id="rId12" Type="http://schemas.openxmlformats.org/officeDocument/2006/relationships/image" Target="media/image4.png"/><Relationship Id="rId13" Type="http://schemas.openxmlformats.org/officeDocument/2006/relationships/header" Target="header1.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package" Target="embeddings/Microsoft_Excel_Worksheet1.xlsx"/><Relationship Id="rId6" Type="http://schemas.openxmlformats.org/officeDocument/2006/relationships/image" Target="media/image1.png"/><Relationship Id="rId7" Type="http://schemas.openxmlformats.org/officeDocument/2006/relationships/package" Target="embeddings/Microsoft_Excel_Worksheet2.xlsx"/><Relationship Id="rId8" Type="http://schemas.openxmlformats.org/officeDocument/2006/relationships/image" Target="media/image2.png"/><Relationship Id="rId9" Type="http://schemas.openxmlformats.org/officeDocument/2006/relationships/package" Target="embeddings/Microsoft_Excel_Worksheet3.xlsx"/></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2026-02-10T08:46:22Z</dcterms:created>
  <dc:creator>Apache POI</dc:creator>
</cp:coreProperties>
</file>

<file path=docProps/custom.xml><?xml version="1.0" encoding="utf-8"?>
<Properties xmlns:vt="http://schemas.openxmlformats.org/officeDocument/2006/docPropsVTypes" xmlns="http://schemas.openxmlformats.org/officeDocument/2006/custom-properties">
  <property name="CWM400e4c00065d11f1800015dc000015dc" pid="2" fmtid="{D5CDD505-2E9C-101B-9397-08002B2CF9AE}">
    <vt:lpwstr>CWMuxoujvrpWmJiicDqUoPHWQam0QRZetTzhwDCdMRPV/wmpK6sF7nHRq7g3fq0VFGnfC3WP2QoO0ZEd0qTROl4Qw==</vt:lpwstr>
  </property>
</Properties>
</file>