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v="urn:schemas-microsoft-com:vml" xmlns:o="urn:schemas-microsoft-com:office:office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经分智能体测试方案2.0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r>
        <w:t>经分智能体效果测试方案2.0（问题驱动测试，自动化评估与人工复检）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" w:id="1"/>
      <w:r>
        <w:rPr>
          <w:rFonts w:eastAsia="等线" w:ascii="Arial" w:cs="Arial" w:hAnsi="Arial"/>
          <w:b w:val="true"/>
          <w:sz w:val="28"/>
        </w:rPr>
        <w:t>一. 测试背景与目的</w:t>
      </w:r>
      <w:bookmarkEnd w:id="1"/>
    </w:p>
    <w:p>
      <w:pPr>
        <w:spacing w:before="120" w:after="120" w:line="288" w:lineRule="auto"/>
        <w:ind w:left="0"/>
        <w:jc w:val="left"/>
      </w:pPr>
      <w:r>
        <w:t>方案2.0转向问题驱动测试：模拟真实用户自然语言提问，通过对话接口验证回复效果。采用自动化验证体系，直接手动计算/判断开放问题和非开放问题的值（准确性）。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测试目的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评估智能体对不同类型问题的回复准确性（事实准、逻辑严、建议可行、无幻觉）。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验证从浅层事实查询到深度分析 + 建议的能力跃升。</w:t>
      </w:r>
    </w:p>
    <w:p>
      <w:r>
        <w:rPr>
          <w:b/>
        </w:rPr>
        <w:t>1. 评测输入源 (Input Vectors)：</w:t>
      </w:r>
    </w:p>
    <w:p>
      <w:r>
        <w:t>依托真实的业务系统快照构建动态测试集（测试数据.xlsx），提取出包含 80 道高拟真度复合型经营问题的全量题库，实现对基础事实提取与高阶商业逻辑推演的双重压测。</w:t>
      </w:r>
    </w:p>
    <w:p>
      <w:r>
        <w:rPr>
          <w:b/>
        </w:rPr>
        <w:t>2. 触发与交互方式 (Execution Modality)：</w:t>
      </w:r>
    </w:p>
    <w:p>
      <w:r>
        <w:t>摒弃传统的人工点选，全面采用 RPA (Robotic Process Automation) 引擎直接挂载智能体的前端 UI。通过自动注入问题集并实时监听抓取流式响应结果，实现闭环全异步跑批。</w:t>
      </w:r>
    </w:p>
    <w:p>
      <w:r>
        <w:rPr>
          <w:b/>
        </w:rPr>
        <w:t>3. 评测维度分类 (Taxonomy of Queries)：</w:t>
      </w:r>
    </w:p>
    <w:p>
      <w:r>
        <w:t>为全面摸底大模型的能力边界，将测试题库解耦为“确定性事实”与“主观性推演”两大阵列：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二. 测试范围与边界定界 (Test Scope &amp; Boundaries)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问题阵列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能力定义与指令范式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题库配比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核心锚点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非开放问题</w:t>
              <w:br/>
              <w:t>(Fact-Based)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客观事实检索，具备绝对唯一的 Ground Truth。</w:t>
              <w:br/>
              <w:t>示例：“净利率最高的合同是哪一个？”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50 道</w:t>
              <w:br/>
              <w:t>(高阶逻辑)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数据提取精准度、跨表聚合能力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开放问题</w:t>
              <w:br/>
              <w:t>(Insight-Based)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主观归纳与经营诊断，需提供三段式推理引擎输出。</w:t>
              <w:br/>
              <w:t>示例：“为什么杨帆利润这么低？请给出管理对策。”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30 道</w:t>
              <w:br/>
              <w:t>(灵魂拷问)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事实零幻觉、商业逻辑严密性、对策可行性</w:t>
            </w:r>
          </w:p>
        </w:tc>
      </w:tr>
    </w:tbl>
    <w:p>
      <w:r>
        <w:t xml:space="preserve">  &gt; LLM裁判打分逻辑：完全缺失真实的系统数据支撑（扣 2 分），归因流于表面且无视真实的排除原因记录（扣 1 分），给出的建议极其宽泛空洞，属于无效的车轱辘话（扣 1 分）。总计判 1 分，系统立即触发红灯人工复检。</w:t>
      </w:r>
    </w:p>
    <w:p>
      <w:r>
        <w:t>• 🔴 智能体低分回复示例（1 - 2 分）：“数智运营产品线商机转化率低主要是因为前端销售团队不够努力，产品缺乏吸引力。建议大家多跑一线跟客户沟通，了解客户真实想法，争取多签单。”</w:t>
      </w:r>
    </w:p>
    <w:p>
      <w:r>
        <w:t xml:space="preserve">  &gt; LLM裁判打分逻辑：覆盖了约 51% 的核心数据（得2分），精准指出延期与条款两项流失根因（得1.5分），给出的梯次报价与防延期追踪建议完全具备实操性（得1.5分），总计满分 5 分。</w:t>
      </w:r>
    </w:p>
    <w:p>
      <w:r>
        <w:t>• 🟢 智能体高分回复示例（4.5 - 5 分）：“目前数智运营产品线赢单率徘徊在 51% 左右，主要痛点在于商务条款分歧以及项目审批延期导致大量商机流失。建议针对延期现象设立阶段停留红线并加强追踪；针对商务难点，方案团队应推出敏捷版/豪华版的梯次化报价策略，以提升最终转化。”</w:t>
      </w:r>
    </w:p>
    <w:p>
      <w:r>
        <w:t xml:space="preserve">  3) 落地建议：建立里程碑追踪防延期，推出模块化/分级报价方案降低商务门槛。</w:t>
      </w:r>
    </w:p>
    <w:p>
      <w:r>
        <w:t xml:space="preserve">  2) 洞察与分析：转化偏低的核心流失原因为“项目周期拖延”与“商务价格底线未达成一致”。</w:t>
      </w:r>
    </w:p>
    <w:p>
      <w:r>
        <w:t xml:space="preserve">  1) 事实与数据：赢单率约 51.37%，排除原因 Top2 为商务条款(25个)与延期(25个)。</w:t>
      </w:r>
    </w:p>
    <w:p>
      <w:r>
        <w:t>• 标准评估基准（三段式 Target）：</w:t>
      </w:r>
    </w:p>
    <w:p>
      <w:r>
        <w:t>• 测试提问：“为什么数智运营产品线的商机转化率偏低？请结合数据给出破局建议。”</w:t>
      </w:r>
    </w:p>
    <w:p>
      <w:r>
        <w:rPr>
          <w:b/>
        </w:rPr>
        <w:t>【示例 B】开放问题（主观洞察与策略推演）</w:t>
      </w:r>
    </w:p>
    <w:p/>
    <w:p>
      <w:r>
        <w:t xml:space="preserve">  &gt; 自动化脚本判定：提取数值为 25，与事实严重不符，判定为计算错误或出现幻觉，自动判为 0 分。</w:t>
      </w:r>
    </w:p>
    <w:p>
      <w:r>
        <w:t>• 🔴 低分回复示例（0 分）：“当前此类大额低利合同共有 25 个，主要集中在软件智能业务线。”</w:t>
      </w:r>
    </w:p>
    <w:p>
      <w:r>
        <w:t xml:space="preserve">  &gt; 自动化脚本判定：正则精准提取到核心数值 28，与 Ground Truth 完全等值匹配，自动判为满分。</w:t>
      </w:r>
    </w:p>
    <w:p>
      <w:r>
        <w:t>• 🟢 高分回复示例（满分 5 分）：“根据系统数据查询，当前金额超千万且净利率&lt;10%的合同共有 28 个。”</w:t>
      </w:r>
    </w:p>
    <w:p>
      <w:r>
        <w:t>• Ground Truth（系统真理）：28</w:t>
      </w:r>
    </w:p>
    <w:p>
      <w:r>
        <w:t>• 测试提问：“当前总金额超千万且净利率低于 10% 的大额低利润合同共有多少个？”</w:t>
      </w:r>
    </w:p>
    <w:p>
      <w:r>
        <w:rPr>
          <w:b/>
        </w:rPr>
        <w:t>【示例 A】非开放问题（客观事实与逻辑计算）</w:t>
      </w:r>
    </w:p>
    <w:p/>
    <w:p>
      <w:r>
        <w:t>为了更直观地展示打分逻辑，以下提供了开放与非开放问题的标准范例与评分解析：</w:t>
      </w:r>
    </w:p>
    <w:p>
      <w:r>
        <w:rPr>
          <w:b/>
        </w:rPr>
        <w:t>3. 测试用例与评分展示（典型示例）</w:t>
      </w:r>
    </w:p>
    <w:p/>
    <w:p>
      <w:r>
        <w:t>4) 人工兜底 (Human-in-the-loop)：仅对裁判大模型给出异常低分（&lt;3分）或涉嫌严重幻觉的极端 Case 触发人工介入复检。</w:t>
      </w:r>
    </w:p>
    <w:p>
      <w:r>
        <w:t>3) 量化定级：由裁判大模型以专家视角输出分数（1-5分）与详细的扣分理由。</w:t>
      </w:r>
    </w:p>
    <w:p>
      <w:r>
        <w:t>2) 裁判审阅：评测脚本循环读取“用户提问 + 三段式标准答案 + 智能体实际回复”，将三者拼装进入裁判大模型的 Prompt 模板。</w:t>
      </w:r>
    </w:p>
    <w:p>
      <w:r>
        <w:t>1) 数据捕获：通过 RPA 脚本批量拉取智能体对 30 道开放题的实际回答，落盘至 result.xlsx 的“智能体回复”列。</w:t>
      </w:r>
    </w:p>
    <w:p>
      <w:r>
        <w:t>自动化测试实施路径：</w:t>
      </w:r>
    </w:p>
    <w:p/>
    <w:p>
      <w:r>
        <w:t>• 落地与建议层（30%权重，满分1.5分）：是否输出了具备实操性、针对性的经营管理对策。</w:t>
      </w:r>
    </w:p>
    <w:p>
      <w:r>
        <w:t>• 归纳与分析层（30%权重，满分1.5分）：是否将冷冰冰的数据转化为有业务深度的根因洞察。</w:t>
      </w:r>
    </w:p>
    <w:p>
      <w:r>
        <w:t>• 事实与数据层（40%权重，满分2分）：是否精准找对底层数据，严防任何虚构或数据混用（幻觉）。</w:t>
      </w:r>
    </w:p>
    <w:p>
      <w:r>
        <w:t>忽略智能体回答的表面排版格式，纯粹穿透底层语义，考察其是否涵盖三大核心考核点：</w:t>
      </w:r>
    </w:p>
    <w:p>
      <w:r>
        <w:t>核心评估理念：</w:t>
      </w:r>
    </w:p>
    <w:p/>
    <w:p>
      <w:r>
        <w:t>鉴于大模型（智能体）的输出为非结构化自由文本，测试方案引入高阶大模型作为自动化裁判。</w:t>
      </w:r>
    </w:p>
    <w:p>
      <w:r>
        <w:rPr>
          <w:b/>
        </w:rPr>
        <w:t>2. 开放问题（LLM-as-a-Judge 智能裁判法）</w:t>
      </w:r>
    </w:p>
    <w:p/>
    <w:p>
      <w:r>
        <w:t>• 执行方法：自动化脚本对比智能体的文本输出，精准核对数字大小、排名顺序及名单是否匹配，完全匹配则得满分（5分），残缺或错误自动扣分，彻底杜绝主观偏差。</w:t>
      </w:r>
    </w:p>
    <w:p>
      <w:r>
        <w:t>• 比对标准：提前基于测试数据集计算所得的绝对真理（Ground Truth）。</w:t>
      </w:r>
    </w:p>
    <w:p>
      <w:r>
        <w:rPr>
          <w:b/>
        </w:rPr>
        <w:t>1. 非开放问题（硬性比对）</w:t>
      </w:r>
    </w:p>
    <w:p/>
    <w:p>
      <w:r>
        <w:t>本方案摒弃纯人工审阅，全面拥抱自动化与智能化评估。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三. 自动化打分与判断方法</w:t>
      </w:r>
    </w:p>
    <w:p>
      <w:pPr>
        <w:spacing w:before="120" w:after="120" w:line="288" w:lineRule="auto"/>
        <w:ind w:left="0"/>
        <w:jc w:val="left"/>
      </w:pPr>
      <w:r>
        <w:t>本方案摒弃纯人工审阅，全面拥抱自动化与智能化评估。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b/>
        </w:rPr>
        <w:t>1. 非开放问题（硬性比对）</w:t>
      </w:r>
    </w:p>
    <w:p>
      <w:pPr>
        <w:numPr>
          <w:numId w:val="7"/>
        </w:numPr>
        <w:spacing w:before="120" w:after="120" w:line="288" w:lineRule="auto"/>
        <w:ind w:left="453"/>
        <w:jc w:val="left"/>
      </w:pPr>
      <w:r>
        <w:t>• 比对标准：提前基于测试数据集计算所得的绝对真理（Ground Truth）。</w:t>
      </w:r>
    </w:p>
    <w:p>
      <w:pPr>
        <w:numPr>
          <w:numId w:val="8"/>
        </w:numPr>
        <w:spacing w:before="120" w:after="120" w:line="288" w:lineRule="auto"/>
        <w:ind w:left="453"/>
        <w:jc w:val="left"/>
      </w:pPr>
      <w:r>
        <w:t>• 执行方法：自动化脚本对比智能体的文本输出，精准核对数字大小、排名顺序及名单是否匹配，完全匹配则得满分（5分），残缺或错误自动扣分，彻底杜绝主观偏差。</w:t>
      </w:r>
    </w:p>
    <w:p>
      <w:pPr>
        <w:numPr>
          <w:numId w:val="9"/>
        </w:numPr>
        <w:spacing w:before="120" w:after="120" w:line="288" w:lineRule="auto"/>
        <w:ind w:left="907"/>
        <w:jc w:val="left"/>
      </w:pPr>
      <w:r>
        <w:rPr>
          <w:b/>
        </w:rPr>
        <w:t>2. 开放问题（LLM-as-a-Judge 智能裁判法）</w:t>
      </w:r>
    </w:p>
    <w:p>
      <w:pPr>
        <w:spacing w:before="120" w:after="120" w:line="288" w:lineRule="auto"/>
        <w:ind w:left="907"/>
      </w:pPr>
      <w:r>
        <w:t>鉴于大模型（智能体）的输出为非结构化自由文本，测试方案引入高阶大模型作为自动化裁判。</w:t>
      </w:r>
    </w:p>
    <w:p>
      <w:pPr>
        <w:spacing w:after="120"/>
        <w:ind w:left="907"/>
        <w:jc w:val="center"/>
      </w:pPr>
      <w:r>
        <w:t>核心评估理念：</w:t>
      </w:r>
    </w:p>
    <w:p>
      <w:pPr>
        <w:spacing w:before="120" w:after="120" w:line="288" w:lineRule="auto"/>
        <w:ind w:left="907"/>
        <w:jc w:val="left"/>
      </w:pPr>
      <w:r>
        <w:t>忽略智能体回答的表面排版格式，纯粹穿透底层语义，考察其是否涵盖三大核心考核点：</w:t>
      </w:r>
    </w:p>
    <w:p>
      <w:pPr>
        <w:spacing w:before="120" w:after="120" w:line="288" w:lineRule="auto"/>
        <w:ind w:left="907"/>
      </w:pPr>
      <w:r>
        <w:t>• 事实与数据层（40%权重，满分2分）：是否精准找对底层数据，严防任何虚构或数据混用（幻觉）。</w:t>
      </w:r>
    </w:p>
    <w:p>
      <w:pPr>
        <w:spacing w:after="120"/>
        <w:ind w:left="907"/>
        <w:jc w:val="center"/>
      </w:pPr>
      <w:r>
        <w:t>• 归纳与分析层（30%权重，满分1.5分）：是否将冷冰冰的数据转化为有业务深度的根因洞察。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t>• 落地与建议层（30%权重，满分1.5分）：是否输出了具备实操性、针对性的经营管理对策。</w:t>
      </w:r>
    </w:p>
    <w:p>
      <w:pPr>
        <w:numPr>
          <w:numId w:val="11"/>
        </w:numPr>
        <w:spacing w:before="120" w:after="120" w:line="288" w:lineRule="auto"/>
        <w:ind w:left="453"/>
        <w:jc w:val="left"/>
      </w:pPr>
      <w:r>
        <w:t>自动化测试实施路径：</w:t>
      </w:r>
    </w:p>
    <w:p>
      <w:pPr>
        <w:spacing w:before="120" w:after="120" w:line="288" w:lineRule="auto"/>
        <w:ind w:left="453"/>
      </w:pPr>
      <w:r>
        <w:t>1) 数据捕获：通过 RPA 脚本批量拉取智能体对 30 道开放题的实际回答，落盘至 result.xlsx 的“智能体回复”列。</w:t>
      </w:r>
    </w:p>
    <w:p>
      <w:pPr>
        <w:spacing w:after="120"/>
        <w:ind w:left="453"/>
        <w:jc w:val="center"/>
      </w:pPr>
      <w:r>
        <w:t>2) 裁判审阅：评测脚本循环读取“用户提问 + 三段式标准答案 + 智能体实际回复”，将三者拼装进入裁判大模型的 Prompt 模板。</w:t>
      </w:r>
    </w:p>
    <w:p>
      <w:pPr>
        <w:numPr>
          <w:numId w:val="12"/>
        </w:numPr>
        <w:spacing w:before="120" w:after="120" w:line="288" w:lineRule="auto"/>
        <w:ind w:left="453"/>
        <w:jc w:val="left"/>
      </w:pPr>
      <w:r>
        <w:t>3) 量化定级：由裁判大模型以专家视角输出分数（1-5分）与详细的扣分理由。</w:t>
      </w:r>
    </w:p>
    <w:p>
      <w:pPr>
        <w:numPr>
          <w:numId w:val="13"/>
        </w:numPr>
        <w:spacing w:before="120" w:after="120" w:line="288" w:lineRule="auto"/>
        <w:ind w:left="907"/>
        <w:jc w:val="left"/>
      </w:pPr>
      <w:r>
        <w:t>4) 人工兜底 (Human-in-the-loop)：仅对裁判大模型给出异常低分（&lt;3分）或涉嫌严重幻觉的极端 Case 触发人工介入复检。</w:t>
      </w:r>
    </w:p>
    <w:p>
      <w:pPr>
        <w:numPr>
          <w:numId w:val="14"/>
        </w:numPr>
        <w:spacing w:before="120" w:after="120" w:line="288" w:lineRule="auto"/>
        <w:ind w:left="907"/>
        <w:jc w:val="left"/>
      </w:pPr>
      <w:r>
        <w:rPr>
          <w:b/>
        </w:rPr>
        <w:t>3. 测试用例与评分展示（典型示例）</w:t>
      </w:r>
    </w:p>
    <w:p>
      <w:pPr>
        <w:numPr>
          <w:numId w:val="15"/>
        </w:numPr>
        <w:spacing w:before="120" w:after="120" w:line="288" w:lineRule="auto"/>
        <w:ind w:left="907"/>
        <w:jc w:val="left"/>
      </w:pPr>
      <w:r/>
    </w:p>
    <w:p>
      <w:pPr>
        <w:numPr>
          <w:numId w:val="16"/>
        </w:numPr>
        <w:spacing w:before="120" w:after="120" w:line="288" w:lineRule="auto"/>
        <w:ind w:left="907"/>
        <w:jc w:val="left"/>
      </w:pPr>
      <w:r/>
    </w:p>
    <w:p>
      <w:pPr>
        <w:spacing w:before="120" w:after="120" w:line="288" w:lineRule="auto"/>
        <w:ind w:left="907"/>
      </w:pPr>
      <w:r/>
    </w:p>
    <w:p>
      <w:pPr>
        <w:spacing w:after="120"/>
        <w:ind w:left="907"/>
        <w:jc w:val="center"/>
      </w:pPr>
      <w:r/>
    </w:p>
    <w:p>
      <w:pPr>
        <w:numPr>
          <w:numId w:val="17"/>
        </w:numPr>
        <w:spacing w:before="120" w:after="120" w:line="288" w:lineRule="auto"/>
        <w:ind w:left="453"/>
        <w:jc w:val="left"/>
      </w:pPr>
      <w:r/>
    </w:p>
    <w:p>
      <w:pPr>
        <w:spacing w:before="120" w:after="120" w:line="288" w:lineRule="auto"/>
        <w:ind w:left="0"/>
        <w:jc w:val="left"/>
      </w:pPr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>为了更直观地展示打分逻辑，以下提供了开放与非开放问题的标准范例与评分解析：</w:t>
        <w:br/>
      </w:r>
    </w:p>
    <w:p>
      <w:r>
        <w:rPr>
          <w:b/>
        </w:rPr>
        <w:t>【示例 A】非开放问题（客观事实与逻辑计算）</w:t>
      </w:r>
    </w:p>
    <w:p>
      <w:r>
        <w:t>• 测试提问：“当前总金额超千万且净利率低于 10% 的大额低利润合同共有多少个？”</w:t>
      </w:r>
    </w:p>
    <w:p>
      <w:r>
        <w:t>• Ground Truth（系统真理）：28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回复质量</w:t>
            </w:r>
          </w:p>
        </w:tc>
        <w:tc>
          <w:tcPr>
            <w:tcW w:type="dxa" w:w="2256"/>
          </w:tcPr>
          <w:p>
            <w:r>
              <w:t>智能体回复示例</w:t>
            </w:r>
          </w:p>
        </w:tc>
        <w:tc>
          <w:tcPr>
            <w:tcW w:type="dxa" w:w="2256"/>
          </w:tcPr>
          <w:p>
            <w:r>
              <w:t>自动化评估逻辑</w:t>
            </w:r>
          </w:p>
        </w:tc>
        <w:tc>
          <w:tcPr>
            <w:tcW w:type="dxa" w:w="2256"/>
          </w:tcPr>
          <w:p>
            <w:r>
              <w:t>最终得分</w:t>
            </w:r>
          </w:p>
        </w:tc>
      </w:tr>
      <w:tr>
        <w:tc>
          <w:tcPr>
            <w:tcW w:type="dxa" w:w="2256"/>
          </w:tcPr>
          <w:p>
            <w:r>
              <w:t>🟢 优秀</w:t>
            </w:r>
          </w:p>
        </w:tc>
        <w:tc>
          <w:tcPr>
            <w:tcW w:type="dxa" w:w="2256"/>
          </w:tcPr>
          <w:p>
            <w:r>
              <w:t>“根据系统数据查询，当前金额超千万且净利率&lt;10%的合同共有 28 个。”</w:t>
            </w:r>
          </w:p>
        </w:tc>
        <w:tc>
          <w:tcPr>
            <w:tcW w:type="dxa" w:w="2256"/>
          </w:tcPr>
          <w:p>
            <w:r>
              <w:t>自动化脚本判定：正则精准提取到核心数值 28，与 Ground Truth 完全等值匹配。</w:t>
            </w:r>
          </w:p>
        </w:tc>
        <w:tc>
          <w:tcPr>
            <w:tcW w:type="dxa" w:w="2256"/>
          </w:tcPr>
          <w:p>
            <w:r>
              <w:t>5 分</w:t>
            </w:r>
          </w:p>
        </w:tc>
      </w:tr>
      <w:tr>
        <w:tc>
          <w:tcPr>
            <w:tcW w:type="dxa" w:w="2256"/>
          </w:tcPr>
          <w:p>
            <w:r>
              <w:t>🔴 不及格</w:t>
            </w:r>
          </w:p>
        </w:tc>
        <w:tc>
          <w:tcPr>
            <w:tcW w:type="dxa" w:w="2256"/>
          </w:tcPr>
          <w:p>
            <w:r>
              <w:t>“当前此类大额低利合同共有 25 个，主要集中在软件智能业务线。”</w:t>
            </w:r>
          </w:p>
        </w:tc>
        <w:tc>
          <w:tcPr>
            <w:tcW w:type="dxa" w:w="2256"/>
          </w:tcPr>
          <w:p>
            <w:r>
              <w:t>自动化脚本判定：提取数值为 25，与事实严重不符，判定为计算错误或出现幻觉。</w:t>
            </w:r>
          </w:p>
        </w:tc>
        <w:tc>
          <w:tcPr>
            <w:tcW w:type="dxa" w:w="2256"/>
          </w:tcPr>
          <w:p>
            <w:r>
              <w:t>0 分</w:t>
            </w:r>
          </w:p>
        </w:tc>
      </w:tr>
    </w:tbl>
    <w:p>
      <w:r>
        <w:rPr>
          <w:b/>
        </w:rPr>
        <w:br/>
        <w:t>【示例 B】开放问题（主观洞察与策略推演）</w:t>
      </w:r>
    </w:p>
    <w:p>
      <w:r>
        <w:t>• 测试提问：“为什么数智运营产品线的商机转化率偏低？请结合数据给出破局建议。”</w:t>
      </w:r>
    </w:p>
    <w:p>
      <w:r>
        <w:t>• 标准评估基准（三段式 Target）：</w:t>
      </w:r>
    </w:p>
    <w:p>
      <w:r>
        <w:t xml:space="preserve">  1) 事实与数据：赢单率约 51.37%，排除原因 Top2 为商务条款(25个)与延期(25个)。</w:t>
      </w:r>
    </w:p>
    <w:p>
      <w:r>
        <w:t xml:space="preserve">  2) 洞察与分析：转化偏低的核心流失原因为“项目周期拖延”与“商务价格底线未达成一致”。</w:t>
      </w:r>
    </w:p>
    <w:p>
      <w:r>
        <w:t xml:space="preserve">  3) 落地建议：建立里程碑追踪防延期，推出模块化/分级报价方案降低商务门槛。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回复质量</w:t>
            </w:r>
          </w:p>
        </w:tc>
        <w:tc>
          <w:tcPr>
            <w:tcW w:type="dxa" w:w="2256"/>
          </w:tcPr>
          <w:p>
            <w:r>
              <w:t>智能体回复示例</w:t>
            </w:r>
          </w:p>
        </w:tc>
        <w:tc>
          <w:tcPr>
            <w:tcW w:type="dxa" w:w="2256"/>
          </w:tcPr>
          <w:p>
            <w:r>
              <w:t>LLM 裁判打分逻辑拆解</w:t>
            </w:r>
          </w:p>
        </w:tc>
        <w:tc>
          <w:tcPr>
            <w:tcW w:type="dxa" w:w="2256"/>
          </w:tcPr>
          <w:p>
            <w:r>
              <w:t>最终得分</w:t>
            </w:r>
          </w:p>
        </w:tc>
      </w:tr>
      <w:tr>
        <w:tc>
          <w:tcPr>
            <w:tcW w:type="dxa" w:w="2256"/>
          </w:tcPr>
          <w:p>
            <w:r>
              <w:t>🟢 优秀</w:t>
            </w:r>
          </w:p>
        </w:tc>
        <w:tc>
          <w:tcPr>
            <w:tcW w:type="dxa" w:w="2256"/>
          </w:tcPr>
          <w:p>
            <w:r>
              <w:t>“目前数智运营产品线赢单率徘徊在 51% 左右，主要痛点在于商务条款分歧以及项目审批延期导致大量商机流失。建议针对延期现象设立阶段停留红线并加强追踪；针对商务难点，方案团队应推出敏捷版/豪华版的梯次化报价策略，以提升最终转化。”</w:t>
            </w:r>
          </w:p>
        </w:tc>
        <w:tc>
          <w:tcPr>
            <w:tcW w:type="dxa" w:w="2256"/>
          </w:tcPr>
          <w:p>
            <w:r>
              <w:t>事实层(2分)：覆盖核心数据。</w:t>
              <w:br/>
              <w:t>洞察层(1.5分)：指出延期与条款痛点。</w:t>
              <w:br/>
              <w:t>建议层(1.5分)：梯次报价与防延期追踪完全具备实操性。</w:t>
            </w:r>
          </w:p>
        </w:tc>
        <w:tc>
          <w:tcPr>
            <w:tcW w:type="dxa" w:w="2256"/>
          </w:tcPr>
          <w:p>
            <w:r>
              <w:t>5 分</w:t>
            </w:r>
          </w:p>
        </w:tc>
      </w:tr>
      <w:tr>
        <w:tc>
          <w:tcPr>
            <w:tcW w:type="dxa" w:w="2256"/>
          </w:tcPr>
          <w:p>
            <w:r>
              <w:t>🔴 不及格</w:t>
            </w:r>
          </w:p>
        </w:tc>
        <w:tc>
          <w:tcPr>
            <w:tcW w:type="dxa" w:w="2256"/>
          </w:tcPr>
          <w:p>
            <w:r>
              <w:t>“数智运营产品线商机转化率低主要是因为前端销售团队不够努力，产品缺乏吸引力。建议大家多跑一线跟客户沟通，了解客户真实想法，争取多签单。”</w:t>
            </w:r>
          </w:p>
        </w:tc>
        <w:tc>
          <w:tcPr>
            <w:tcW w:type="dxa" w:w="2256"/>
          </w:tcPr>
          <w:p>
            <w:r>
              <w:t>事实层(0分)：完全缺失真实数据。</w:t>
              <w:br/>
              <w:t>洞察层(0.5分)：归因流于表面。</w:t>
              <w:br/>
              <w:t>建议层(0.5分)：建议宽泛空洞，属无效车轱辘话。</w:t>
            </w:r>
          </w:p>
        </w:tc>
        <w:tc>
          <w:tcPr>
            <w:tcW w:type="dxa" w:w="2256"/>
          </w:tcPr>
          <w:p>
            <w:r>
              <w:t>1 分</w:t>
              <w:br/>
              <w:t>(触发人工复检)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r>
        <w:t>四. 核心度量指标体系 (Core Evaluation Metrics)</w:t>
      </w:r>
    </w:p>
    <w:p>
      <w:r>
        <w:t>本方案摒弃了传统的单一黑盒打分，构建了涵盖“精确度、鲁棒性、可溯源性”的 3D 黄金度量矩阵，以确保智能体在真实高管应用场景下的极致可靠。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核心度量维度</w:t>
            </w:r>
          </w:p>
        </w:tc>
        <w:tc>
          <w:tcPr>
            <w:tcW w:type="dxa" w:w="1728"/>
          </w:tcPr>
          <w:p>
            <w:r>
              <w:t>指标定义与评判逻辑</w:t>
            </w:r>
          </w:p>
        </w:tc>
        <w:tc>
          <w:tcPr>
            <w:tcW w:type="dxa" w:w="1728"/>
          </w:tcPr>
          <w:p>
            <w:r>
              <w:t>量化计算方式</w:t>
            </w:r>
          </w:p>
        </w:tc>
        <w:tc>
          <w:tcPr>
            <w:tcW w:type="dxa" w:w="1728"/>
          </w:tcPr>
          <w:p>
            <w:r>
              <w:t>企业级目标阈值</w:t>
            </w:r>
          </w:p>
        </w:tc>
        <w:tc>
          <w:tcPr>
            <w:tcW w:type="dxa" w:w="1728"/>
          </w:tcPr>
          <w:p>
            <w:r>
              <w:t>适用场景</w:t>
            </w:r>
          </w:p>
        </w:tc>
      </w:tr>
      <w:tr>
        <w:tc>
          <w:tcPr>
            <w:tcW w:type="dxa" w:w="1728"/>
          </w:tcPr>
          <w:p>
            <w:r>
              <w:t>多维准确性</w:t>
              <w:br/>
              <w:t>(Multidimensional Accuracy)</w:t>
            </w:r>
          </w:p>
        </w:tc>
        <w:tc>
          <w:tcPr>
            <w:tcW w:type="dxa" w:w="1728"/>
          </w:tcPr>
          <w:p>
            <w:r>
              <w:t>事实与逻辑双重校验。确保数据检索不漏、业务计算不错、逻辑推演不偏。</w:t>
            </w:r>
          </w:p>
        </w:tc>
        <w:tc>
          <w:tcPr>
            <w:tcW w:type="dxa" w:w="1728"/>
          </w:tcPr>
          <w:p>
            <w:r>
              <w:t>非开放题：自动化精准比对匹配度</w:t>
              <w:br/>
              <w:t>开放题：LLM 裁判 1-5 分量化矩阵 (事实/洞察/建议)</w:t>
            </w:r>
          </w:p>
        </w:tc>
        <w:tc>
          <w:tcPr>
            <w:tcW w:type="dxa" w:w="1728"/>
          </w:tcPr>
          <w:p>
            <w:r>
              <w:t>非开放题：100%</w:t>
              <w:br/>
              <w:t>开放题：平均分 ≥ 4.5</w:t>
            </w:r>
          </w:p>
        </w:tc>
        <w:tc>
          <w:tcPr>
            <w:tcW w:type="dxa" w:w="1728"/>
          </w:tcPr>
          <w:p>
            <w:r>
              <w:t>全量题库</w:t>
              <w:br/>
              <w:t>(非开放 + 开放)</w:t>
            </w:r>
          </w:p>
        </w:tc>
      </w:tr>
      <w:tr>
        <w:tc>
          <w:tcPr>
            <w:tcW w:type="dxa" w:w="1728"/>
          </w:tcPr>
          <w:p>
            <w:r>
              <w:t>一致性与鲁棒性</w:t>
              <w:br/>
              <w:t>(Consistency &amp; Robustness)</w:t>
            </w:r>
          </w:p>
        </w:tc>
        <w:tc>
          <w:tcPr>
            <w:tcW w:type="dxa" w:w="1728"/>
          </w:tcPr>
          <w:p>
            <w:r>
              <w:t>面对相同的高阶经营提问或存在微小扰动的 Prompt 时，系统能否提供绝对稳定的解答输出。</w:t>
            </w:r>
          </w:p>
        </w:tc>
        <w:tc>
          <w:tcPr>
            <w:tcW w:type="dxa" w:w="1728"/>
          </w:tcPr>
          <w:p>
            <w:r>
              <w:t>高并发压力测试下，对同一问题抽样 20 次并计算输出结果的零差异比率。</w:t>
            </w:r>
          </w:p>
        </w:tc>
        <w:tc>
          <w:tcPr>
            <w:tcW w:type="dxa" w:w="1728"/>
          </w:tcPr>
          <w:p>
            <w:r>
              <w:t>100% 零差异率</w:t>
            </w:r>
          </w:p>
        </w:tc>
        <w:tc>
          <w:tcPr>
            <w:tcW w:type="dxa" w:w="1728"/>
          </w:tcPr>
          <w:p>
            <w:r>
              <w:t>重点针对大额合同与高危商机类的严谨查询</w:t>
            </w:r>
          </w:p>
        </w:tc>
      </w:tr>
      <w:tr>
        <w:tc>
          <w:tcPr>
            <w:tcW w:type="dxa" w:w="1728"/>
          </w:tcPr>
          <w:p>
            <w:r>
              <w:t>零幻觉溯源率</w:t>
              <w:br/>
              <w:t>(Zero-Hallucination)</w:t>
            </w:r>
          </w:p>
        </w:tc>
        <w:tc>
          <w:tcPr>
            <w:tcW w:type="dxa" w:w="1728"/>
          </w:tcPr>
          <w:p>
            <w:r>
              <w:t>输出文本中引用的任意具体数值、阶段名称或最终用户实体，必须 100% 拥有底层测试数据集的引用依据凭证。严防模型脑补。</w:t>
            </w:r>
          </w:p>
        </w:tc>
        <w:tc>
          <w:tcPr>
            <w:tcW w:type="dxa" w:w="1728"/>
          </w:tcPr>
          <w:p>
            <w:r>
              <w:t>实体链接穿透率计算：由 LLM 裁判提取数值/实体，并交由脚本与源库比对，计算捏造实体个数。</w:t>
            </w:r>
          </w:p>
        </w:tc>
        <w:tc>
          <w:tcPr>
            <w:tcW w:type="dxa" w:w="1728"/>
          </w:tcPr>
          <w:p>
            <w:r>
              <w:t>绝对 0 幻觉</w:t>
              <w:br/>
              <w:t>(容忍度 0%)</w:t>
            </w:r>
          </w:p>
        </w:tc>
        <w:tc>
          <w:tcPr>
            <w:tcW w:type="dxa" w:w="1728"/>
          </w:tcPr>
          <w:p>
            <w:r>
              <w:t>全量开放问题深度分析段落</w:t>
            </w:r>
          </w:p>
        </w:tc>
      </w:tr>
    </w:tbl>
    <w:p/>
    <w:p>
      <w:pPr/>
      <w:r>
        <w:t>五. 自动化与智能化测试执行流程</w:t>
      </w:r>
      <w:r>
        <w:br/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6405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题库构建与基准锁定 (Test Case Engineering)：基于真实的「商机表」与「合同表」等底层核心数据，构建 80 道高拟真度经营分析问题（50 道高阶逻辑非开放题 + 30 道老板视角灵魂拷问开放题）。通过 Python 脚本计算并绝对锁定各题的 Ground Truth 及「三段式」评估基准，确保后续裁判标准的零误差与客观性。</w:t>
      </w:r>
    </w:p>
    <w:p>
      <w:r>
        <w:t>2. RPA 无人值守执行 (Robotic Process Automation)：引入 Playwright 自动化引擎，挂载 RPA 脚本对智能体交互界面进行无人值守跑批提问。脚本将自动注入测试数据、监听动态流式输出、提取完整回答文本，并将结果秒级落盘至数据表（result.xlsx），彻底消除人工操作带来的低效与人为干扰。</w:t>
      </w:r>
    </w:p>
    <w:p>
      <w:r>
        <w:t>3. 双轨智能交叉验证 (Dual-Track Validation)：</w:t>
        <w:br/>
        <w:t xml:space="preserve">   • 非开放题（硬性校验）：通过正则提取与实体识别脚本，将智能体回复的数值、列表与 Ground Truth 进行毫秒级精准比对。</w:t>
        <w:br/>
        <w:t xml:space="preserve">   • 开放题（LLM-as-a-Judge）：将智能体输出的非结构化长文本喂入高阶裁判大模型，严格按照「事实准确度、业务洞察力、建议可行性」三维评分矩阵进行语义解析与量化打分。仅对裁判给出的异常低分或涉嫌“严重幻觉”的案例触发人工复检（Human-in-the-loop），实现极高水准的评测自动化率。</w:t>
      </w:r>
    </w:p>
    <w:p>
      <w:r>
        <w:t>4. 缺陷洞察与高维报告产出 (Metrics &amp; Insights Reporting)：聚合准确性、一致性与无幻觉性三大核心指标，自动生成可视化评测矩阵。拒绝只交出冰冷的测试分数，着重提炼智能体在“意图理解偏差、底层数据检索遗漏、深层逻辑推理断层”等维度的典型 Bad Case，用以反向倒逼经分智能体底层 RAG 链路与架构的精准迭代。</w:t>
      </w:r>
    </w:p>
    <w:sectPr>
      <w:footerReference w:type="default" r:id="rId3"/>
      <w:headerReference w:type="default" r:id="rId13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8235">
    <w:lvl>
      <w:numFmt w:val="bullet"/>
      <w:suff w:val="tab"/>
      <w:lvlText w:val="•"/>
      <w:rPr>
        <w:color w:val="3370ff"/>
      </w:rPr>
    </w:lvl>
  </w:abstractNum>
  <w:abstractNum w:abstractNumId="68236">
    <w:lvl>
      <w:numFmt w:val="bullet"/>
      <w:suff w:val="tab"/>
      <w:lvlText w:val="•"/>
      <w:rPr>
        <w:color w:val="3370ff"/>
      </w:rPr>
    </w:lvl>
  </w:abstractNum>
  <w:abstractNum w:abstractNumId="68237">
    <w:lvl>
      <w:numFmt w:val="bullet"/>
      <w:suff w:val="tab"/>
      <w:lvlText w:val="•"/>
      <w:rPr>
        <w:color w:val="3370ff"/>
      </w:rPr>
    </w:lvl>
  </w:abstractNum>
  <w:abstractNum w:abstractNumId="68238">
    <w:lvl>
      <w:numFmt w:val="bullet"/>
      <w:suff w:val="tab"/>
      <w:lvlText w:val="•"/>
      <w:rPr>
        <w:color w:val="3370ff"/>
      </w:rPr>
    </w:lvl>
  </w:abstractNum>
  <w:abstractNum w:abstractNumId="68239">
    <w:lvl>
      <w:numFmt w:val="bullet"/>
      <w:suff w:val="tab"/>
      <w:lvlText w:val="•"/>
      <w:rPr>
        <w:color w:val="3370ff"/>
      </w:rPr>
    </w:lvl>
  </w:abstractNum>
  <w:abstractNum w:abstractNumId="68240">
    <w:lvl>
      <w:numFmt w:val="bullet"/>
      <w:suff w:val="tab"/>
      <w:lvlText w:val="•"/>
      <w:rPr>
        <w:color w:val="3370ff"/>
      </w:rPr>
    </w:lvl>
  </w:abstractNum>
  <w:abstractNum w:abstractNumId="68241">
    <w:lvl>
      <w:numFmt w:val="bullet"/>
      <w:suff w:val="tab"/>
      <w:lvlText w:val="￮"/>
      <w:rPr>
        <w:color w:val="3370ff"/>
      </w:rPr>
    </w:lvl>
  </w:abstractNum>
  <w:abstractNum w:abstractNumId="68242">
    <w:lvl>
      <w:numFmt w:val="bullet"/>
      <w:suff w:val="tab"/>
      <w:lvlText w:val="￮"/>
      <w:rPr>
        <w:color w:val="3370ff"/>
      </w:rPr>
    </w:lvl>
  </w:abstractNum>
  <w:abstractNum w:abstractNumId="68243">
    <w:lvl>
      <w:numFmt w:val="bullet"/>
      <w:suff w:val="tab"/>
      <w:lvlText w:val="▪"/>
      <w:rPr>
        <w:color w:val="3370ff"/>
        <w:sz w:val="11"/>
      </w:rPr>
    </w:lvl>
  </w:abstractNum>
  <w:abstractNum w:abstractNumId="68244">
    <w:lvl>
      <w:numFmt w:val="bullet"/>
      <w:suff w:val="tab"/>
      <w:lvlText w:val="•"/>
      <w:rPr>
        <w:color w:val="3370ff"/>
      </w:rPr>
    </w:lvl>
  </w:abstractNum>
  <w:abstractNum w:abstractNumId="68245">
    <w:lvl>
      <w:numFmt w:val="bullet"/>
      <w:suff w:val="tab"/>
      <w:lvlText w:val="￮"/>
      <w:rPr>
        <w:color w:val="3370ff"/>
      </w:rPr>
    </w:lvl>
  </w:abstractNum>
  <w:abstractNum w:abstractNumId="68246">
    <w:lvl>
      <w:numFmt w:val="bullet"/>
      <w:suff w:val="tab"/>
      <w:lvlText w:val="￮"/>
      <w:rPr>
        <w:color w:val="3370ff"/>
      </w:rPr>
    </w:lvl>
  </w:abstractNum>
  <w:abstractNum w:abstractNumId="68247">
    <w:lvl>
      <w:numFmt w:val="bullet"/>
      <w:suff w:val="tab"/>
      <w:lvlText w:val="▪"/>
      <w:rPr>
        <w:color w:val="3370ff"/>
        <w:sz w:val="11"/>
      </w:rPr>
    </w:lvl>
  </w:abstractNum>
  <w:abstractNum w:abstractNumId="68248">
    <w:lvl>
      <w:numFmt w:val="bullet"/>
      <w:suff w:val="tab"/>
      <w:lvlText w:val="▪"/>
      <w:rPr>
        <w:color w:val="3370ff"/>
        <w:sz w:val="11"/>
      </w:rPr>
    </w:lvl>
  </w:abstractNum>
  <w:abstractNum w:abstractNumId="68249">
    <w:lvl>
      <w:numFmt w:val="bullet"/>
      <w:suff w:val="tab"/>
      <w:lvlText w:val="▪"/>
      <w:rPr>
        <w:color w:val="3370ff"/>
        <w:sz w:val="11"/>
      </w:rPr>
    </w:lvl>
  </w:abstractNum>
  <w:abstractNum w:abstractNumId="68250">
    <w:lvl>
      <w:numFmt w:val="bullet"/>
      <w:suff w:val="tab"/>
      <w:lvlText w:val="▪"/>
      <w:rPr>
        <w:color w:val="3370ff"/>
        <w:sz w:val="11"/>
      </w:rPr>
    </w:lvl>
  </w:abstractNum>
  <w:abstractNum w:abstractNumId="68251">
    <w:lvl>
      <w:numFmt w:val="bullet"/>
      <w:suff w:val="tab"/>
      <w:lvlText w:val="￮"/>
      <w:rPr>
        <w:color w:val="3370ff"/>
      </w:rPr>
    </w:lvl>
  </w:abstractNum>
  <w:abstractNum w:abstractNumId="68252">
    <w:lvl>
      <w:numFmt w:val="bullet"/>
      <w:suff w:val="tab"/>
      <w:lvlText w:val="•"/>
      <w:rPr>
        <w:color w:val="3370ff"/>
      </w:rPr>
    </w:lvl>
  </w:abstractNum>
  <w:abstractNum w:abstractNumId="68253">
    <w:lvl>
      <w:numFmt w:val="bullet"/>
      <w:suff w:val="tab"/>
      <w:lvlText w:val="•"/>
      <w:rPr>
        <w:color w:val="3370ff"/>
      </w:rPr>
    </w:lvl>
  </w:abstractNum>
  <w:abstractNum w:abstractNumId="68254">
    <w:lvl>
      <w:numFmt w:val="bullet"/>
      <w:suff w:val="tab"/>
      <w:lvlText w:val="•"/>
      <w:rPr>
        <w:color w:val="3370ff"/>
      </w:rPr>
    </w:lvl>
  </w:abstractNum>
  <w:abstractNum w:abstractNumId="68255">
    <w:lvl>
      <w:numFmt w:val="bullet"/>
      <w:suff w:val="tab"/>
      <w:lvlText w:val="•"/>
      <w:rPr>
        <w:color w:val="3370ff"/>
      </w:rPr>
    </w:lvl>
  </w:abstractNum>
  <w:abstractNum w:abstractNumId="68256">
    <w:lvl>
      <w:numFmt w:val="bullet"/>
      <w:suff w:val="tab"/>
      <w:lvlText w:val="•"/>
      <w:rPr>
        <w:color w:val="3370ff"/>
      </w:rPr>
    </w:lvl>
  </w:abstractNum>
  <w:num w:numId="1">
    <w:abstractNumId w:val="68235"/>
  </w:num>
  <w:num w:numId="2">
    <w:abstractNumId w:val="68236"/>
  </w:num>
  <w:num w:numId="3">
    <w:abstractNumId w:val="68237"/>
  </w:num>
  <w:num w:numId="4">
    <w:abstractNumId w:val="68238"/>
  </w:num>
  <w:num w:numId="5">
    <w:abstractNumId w:val="68239"/>
  </w:num>
  <w:num w:numId="6">
    <w:abstractNumId w:val="68240"/>
  </w:num>
  <w:num w:numId="7">
    <w:abstractNumId w:val="68241"/>
  </w:num>
  <w:num w:numId="8">
    <w:abstractNumId w:val="68242"/>
  </w:num>
  <w:num w:numId="9">
    <w:abstractNumId w:val="68243"/>
  </w:num>
  <w:num w:numId="10">
    <w:abstractNumId w:val="68244"/>
  </w:num>
  <w:num w:numId="11">
    <w:abstractNumId w:val="68245"/>
  </w:num>
  <w:num w:numId="12">
    <w:abstractNumId w:val="68246"/>
  </w:num>
  <w:num w:numId="13">
    <w:abstractNumId w:val="68247"/>
  </w:num>
  <w:num w:numId="14">
    <w:abstractNumId w:val="68248"/>
  </w:num>
  <w:num w:numId="15">
    <w:abstractNumId w:val="68249"/>
  </w:num>
  <w:num w:numId="16">
    <w:abstractNumId w:val="68250"/>
  </w:num>
  <w:num w:numId="17">
    <w:abstractNumId w:val="68251"/>
  </w:num>
  <w:num w:numId="18">
    <w:abstractNumId w:val="68252"/>
  </w:num>
  <w:num w:numId="19">
    <w:abstractNumId w:val="68253"/>
  </w:num>
  <w:num w:numId="20">
    <w:abstractNumId w:val="68254"/>
  </w:num>
  <w:num w:numId="21">
    <w:abstractNumId w:val="68255"/>
  </w:num>
  <w:num w:numId="22">
    <w:abstractNumId w:val="6825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3.png"/><Relationship Id="rId11" Type="http://schemas.openxmlformats.org/officeDocument/2006/relationships/package" Target="embeddings/Microsoft_Excel_Worksheet4.xlsx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package" Target="embeddings/Microsoft_Excel_Worksheet1.xlsx"/><Relationship Id="rId6" Type="http://schemas.openxmlformats.org/officeDocument/2006/relationships/image" Target="media/image1.png"/><Relationship Id="rId7" Type="http://schemas.openxmlformats.org/officeDocument/2006/relationships/package" Target="embeddings/Microsoft_Excel_Worksheet2.xlsx"/><Relationship Id="rId8" Type="http://schemas.openxmlformats.org/officeDocument/2006/relationships/image" Target="media/image2.png"/><Relationship Id="rId9" Type="http://schemas.openxmlformats.org/officeDocument/2006/relationships/package" Target="embeddings/Microsoft_Excel_Worksheet3.xlsx"/><Relationship Id="rId14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2026-02-10T08:46:22Z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400e4c00065d11f1800015dc000015dc" pid="2" fmtid="{D5CDD505-2E9C-101B-9397-08002B2CF9AE}">
    <vt:lpwstr>CWMuxoujvrpWmJiicDqUoPHWQam0QRZetTzhwDCdMRPV/wmpK6sF7nHRq7g3fq0VFGnfC3WP2QoO0ZEd0qTROl4Qw==</vt:lpwstr>
  </property>
</Properties>
</file>