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经分智能体测试方案2.0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t>经分智能体效果测试方案2.0（问题驱动测试，自动化评估与人工复检）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一. 测试背景与目的</w:t>
      </w:r>
      <w:bookmarkEnd w:id="1"/>
    </w:p>
    <w:p>
      <w:pPr>
        <w:spacing w:before="120" w:after="120" w:line="288" w:lineRule="auto"/>
        <w:ind w:left="0"/>
        <w:jc w:val="left"/>
      </w:pPr>
      <w:r>
        <w:t>方案2.0转向问题驱动测试：模拟真实用户自然语言提问，通过对话接口验证回复效果。采用自动化验证体系，直接手动计算/判断开放问题和非开放问题的值（准确性）。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测试目的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评估智能体对不同类型问题的回复准确性（事实准、逻辑严、建议可行、无幻觉）。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验证从浅层事实查询到深度分析 + 建议的能力跃升。</w:t>
      </w:r>
    </w:p>
    <w:p>
      <w:r>
        <w:rPr>
          <w:b/>
        </w:rPr>
        <w:t>1. 评测输入源 (Input Vectors)：</w:t>
      </w:r>
    </w:p>
    <w:p>
      <w:r>
        <w:t>依托真实的业务系统快照构建动态测试集（测试数据.xlsx），提取出包含 80 道高拟真度复合型经营问题的全量题库，实现对基础事实提取与高阶商业逻辑推演的双重压测。</w:t>
      </w:r>
    </w:p>
    <w:p>
      <w:r>
        <w:rPr>
          <w:b/>
        </w:rPr>
        <w:t>2. 触发与交互方式 (Execution Modality)：</w:t>
      </w:r>
    </w:p>
    <w:p>
      <w:r>
        <w:t>摒弃传统的人工点选，全面采用 RPA (Robotic Process Automation) 引擎直接挂载智能体的前端 UI。通过自动注入问题集并实时监听抓取流式响应结果，实现闭环全异步跑批。</w:t>
      </w:r>
    </w:p>
    <w:p>
      <w:r>
        <w:rPr>
          <w:b/>
        </w:rPr>
        <w:t>3. 评测维度分类 (Taxonomy of Queries)：</w:t>
      </w:r>
    </w:p>
    <w:p>
      <w:r>
        <w:t>为全面摸底大模型的能力边界，将测试题库解耦为“确定性事实”与“主观性推演”两大阵列：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二. 测试范围与边界定界 (Test Scope &amp; Boundaries)</w:t>
      </w:r>
    </w:p>
    <w:p>
      <w:r>
        <w:t>• 输入数据源：构造高度拟真的高阶业务问题集（共 80 题），数据底座基于脱敏的真实系统报表（商机表、合同表、项目表等）。</w:t>
      </w:r>
    </w:p>
    <w:p>
      <w:r>
        <w:t>• 执行方式：通过 RPA（Robotic Process Automation）自动化脚本驱动 Edge 浏览器，在系统内网对话框中进行无人值守的批量问题注入与回答抓取，并将回复内容秒级落盘。</w:t>
      </w:r>
    </w:p>
    <w:p>
      <w:r>
        <w:t>• 问题分类与校验维度：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256"/>
          </w:tcPr>
          <w:p>
            <w:r>
              <w:rPr>
                <w:b/>
              </w:rPr>
              <w:t>题型定义与特性</w:t>
            </w:r>
          </w:p>
        </w:tc>
        <w:tc>
          <w:tcPr>
            <w:tcW w:type="dxa" w:w="2256"/>
          </w:tcPr>
          <w:p>
            <w:r>
              <w:rPr>
                <w:b/>
              </w:rPr>
              <w:t>数量分布</w:t>
            </w:r>
          </w:p>
        </w:tc>
        <w:tc>
          <w:tcPr>
            <w:tcW w:type="dxa" w:w="2256"/>
          </w:tcPr>
          <w:p>
            <w:r>
              <w:rPr>
                <w:b/>
              </w:rPr>
              <w:t>核心评判标准与验证逻辑</w:t>
            </w:r>
          </w:p>
        </w:tc>
      </w:tr>
      <w:tr>
        <w:tc>
          <w:tcPr>
            <w:tcW w:type="dxa" w:w="2256"/>
          </w:tcPr>
          <w:p>
            <w:r>
              <w:t>非开放问题</w:t>
              <w:br/>
              <w:t>（硬逻辑校验）</w:t>
            </w:r>
          </w:p>
        </w:tc>
        <w:tc>
          <w:tcPr>
            <w:tcW w:type="dxa" w:w="2256"/>
          </w:tcPr>
          <w:p>
            <w:r>
              <w:t>客观事实查询、跨表统计、极值聚合。有绝对唯一的数值或明确的枚举列表答案。</w:t>
            </w:r>
          </w:p>
        </w:tc>
        <w:tc>
          <w:tcPr>
            <w:tcW w:type="dxa" w:w="2256"/>
          </w:tcPr>
          <w:p>
            <w:r>
              <w:t>50 题</w:t>
            </w:r>
          </w:p>
        </w:tc>
        <w:tc>
          <w:tcPr>
            <w:tcW w:type="dxa" w:w="2256"/>
          </w:tcPr>
          <w:p>
            <w:r>
              <w:t>事实级精准度 (Accuracy)。</w:t>
              <w:br/>
              <w:t>利用 Python 脚本正则匹配提取核心数值或特定实体，与 Ground Truth 进行 100% 强等值比对。</w:t>
            </w:r>
          </w:p>
        </w:tc>
      </w:tr>
      <w:tr>
        <w:tc>
          <w:tcPr>
            <w:tcW w:type="dxa" w:w="2256"/>
          </w:tcPr>
          <w:p>
            <w:r>
              <w:t>开放问题</w:t>
              <w:br/>
              <w:t>（高维主观校验）</w:t>
            </w:r>
          </w:p>
        </w:tc>
        <w:tc>
          <w:tcPr>
            <w:tcW w:type="dxa" w:w="2256"/>
          </w:tcPr>
          <w:p>
            <w:r>
              <w:t>面向经营管理层的宏观主观分析、流失归因推演与高阶策略建议。</w:t>
            </w:r>
          </w:p>
        </w:tc>
        <w:tc>
          <w:tcPr>
            <w:tcW w:type="dxa" w:w="2256"/>
          </w:tcPr>
          <w:p>
            <w:r>
              <w:t>30 题</w:t>
            </w:r>
          </w:p>
        </w:tc>
        <w:tc>
          <w:tcPr>
            <w:tcW w:type="dxa" w:w="2256"/>
          </w:tcPr>
          <w:p>
            <w:r>
              <w:t>逻辑与建议可行性 (Insight &amp; Action)。</w:t>
              <w:br/>
              <w:t>引入 LLM 裁判，依据“事实匹配、深度分析、建议有效性”三大维度进行结构化评分。</w:t>
            </w:r>
          </w:p>
        </w:tc>
      </w:tr>
    </w:tbl>
    <w:p/>
    <w:p>
      <w:pPr>
        <w:pStyle w:val="4"/>
        <w:spacing w:before="260" w:after="120" w:line="288" w:lineRule="auto"/>
        <w:ind w:left="0"/>
        <w:jc w:val="left"/>
        <w:outlineLvl w:val="3"/>
      </w:pPr>
      <w:r>
        <w:t>三. 自动化打分与判断方法</w:t>
      </w:r>
    </w:p>
    <w:p>
      <w:pPr>
        <w:spacing w:before="120" w:after="120" w:line="288" w:lineRule="auto"/>
        <w:ind w:left="0"/>
        <w:jc w:val="left"/>
      </w:pPr>
      <w:r>
        <w:t>本方案摒弃纯人工审阅，全面拥抱自动化与智能化评估。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b/>
        </w:rPr>
        <w:t>1. 非开放问题（硬性比对）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t>• 比对标准：提前基于测试数据集计算所得的绝对真理（Ground Truth）。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t>• 执行方法：自动化脚本提取智能体回复的核心数值或实体名单，与 Ground Truth 进行精准比对。</w:t>
      </w:r>
    </w:p>
    <w:p>
      <w:r>
        <w:t>• 1-5 分量化打分标准：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4512"/>
          </w:tcPr>
          <w:p>
            <w:r>
              <w:rPr>
                <w:b/>
              </w:rPr>
              <w:t>打分标准</w:t>
            </w:r>
          </w:p>
        </w:tc>
      </w:tr>
      <w:tr>
        <w:tc>
          <w:tcPr>
            <w:tcW w:type="dxa" w:w="4512"/>
          </w:tcPr>
          <w:p>
            <w:r>
              <w:rPr>
                <w:b/>
              </w:rPr>
              <w:t>5 分</w:t>
            </w:r>
          </w:p>
        </w:tc>
        <w:tc>
          <w:tcPr>
            <w:tcW w:type="dxa" w:w="4512"/>
          </w:tcPr>
          <w:p>
            <w:r>
              <w:t>核心数值/名单完全匹配，无多余错误信息。</w:t>
            </w:r>
          </w:p>
        </w:tc>
      </w:tr>
      <w:tr>
        <w:tc>
          <w:tcPr>
            <w:tcW w:type="dxa" w:w="4512"/>
          </w:tcPr>
          <w:p>
            <w:r>
              <w:rPr>
                <w:b/>
              </w:rPr>
              <w:t>4 分</w:t>
            </w:r>
          </w:p>
        </w:tc>
        <w:tc>
          <w:tcPr>
            <w:tcW w:type="dxa" w:w="4512"/>
          </w:tcPr>
          <w:p>
            <w:r>
              <w:t>核心结论正确，但存在冗余的非关键错误信息或轻微单位格式瑕疵。</w:t>
            </w:r>
          </w:p>
        </w:tc>
      </w:tr>
      <w:tr>
        <w:tc>
          <w:tcPr>
            <w:tcW w:type="dxa" w:w="4512"/>
          </w:tcPr>
          <w:p>
            <w:r>
              <w:rPr>
                <w:b/>
              </w:rPr>
              <w:t>3 分</w:t>
            </w:r>
          </w:p>
        </w:tc>
        <w:tc>
          <w:tcPr>
            <w:tcW w:type="dxa" w:w="4512"/>
          </w:tcPr>
          <w:p>
            <w:r>
              <w:t>列表型问题命中大部分（如 Top3 对了 2 个），或数值误差在极小可接受范围内。</w:t>
            </w:r>
          </w:p>
        </w:tc>
      </w:tr>
      <w:tr>
        <w:tc>
          <w:tcPr>
            <w:tcW w:type="dxa" w:w="4512"/>
          </w:tcPr>
          <w:p>
            <w:r>
              <w:rPr>
                <w:b/>
              </w:rPr>
              <w:t>2 分</w:t>
            </w:r>
          </w:p>
        </w:tc>
        <w:tc>
          <w:tcPr>
            <w:tcW w:type="dxa" w:w="4512"/>
          </w:tcPr>
          <w:p>
            <w:r>
              <w:t>核心数据错误，但命中了部分相关实体，答非所问但大方向在相关领域。</w:t>
            </w:r>
          </w:p>
        </w:tc>
      </w:tr>
      <w:tr>
        <w:tc>
          <w:tcPr>
            <w:tcW w:type="dxa" w:w="4512"/>
          </w:tcPr>
          <w:p>
            <w:r>
              <w:rPr>
                <w:b/>
              </w:rPr>
              <w:t>1 分</w:t>
            </w:r>
          </w:p>
        </w:tc>
        <w:tc>
          <w:tcPr>
            <w:tcW w:type="dxa" w:w="4512"/>
          </w:tcPr>
          <w:p>
            <w:r>
              <w:t>完全错误或产生严重幻觉（凭空捏造数据/名单）。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b/>
        </w:rPr>
        <w:t>2. 开放问题（LLM-as-a-Judge 智能裁判法）</w:t>
      </w:r>
    </w:p>
    <w:p>
      <w:pPr>
        <w:spacing w:before="120" w:after="120" w:line="288" w:lineRule="auto"/>
        <w:ind w:left="907"/>
      </w:pPr>
      <w:r>
        <w:t>鉴于大模型（智能体）的输出为非结构化自由文本，测试方案引入高阶大模型作为自动化裁判。</w:t>
      </w:r>
    </w:p>
    <w:p>
      <w:pPr>
        <w:spacing w:after="120"/>
        <w:ind w:left="907"/>
        <w:jc w:val="center"/>
      </w:pPr>
      <w:r>
        <w:t>核心评估理念：</w:t>
      </w:r>
    </w:p>
    <w:p>
      <w:pPr>
        <w:spacing w:before="120" w:after="120" w:line="288" w:lineRule="auto"/>
        <w:ind w:left="907"/>
        <w:jc w:val="left"/>
      </w:pPr>
      <w:r/>
    </w:p>
    <w:p>
      <w:pPr>
        <w:spacing w:before="120" w:after="120" w:line="288" w:lineRule="auto"/>
        <w:ind w:left="907"/>
      </w:pPr>
      <w:r/>
    </w:p>
    <w:p>
      <w:pPr>
        <w:spacing w:after="120"/>
        <w:ind w:left="907"/>
        <w:jc w:val="center"/>
      </w:pPr>
      <w:r/>
    </w:p>
    <w:p>
      <w:pPr>
        <w:numPr>
          <w:numId w:val="10"/>
        </w:numPr>
        <w:spacing w:before="120" w:after="120" w:line="288" w:lineRule="auto"/>
        <w:ind w:left="0"/>
        <w:jc w:val="left"/>
      </w:pPr>
      <w:r/>
    </w:p>
    <w:p>
      <w:r>
        <w:t>忽略排版格式，穿透底层语义，LLM 裁判会对以下三个维度分别进行 1-5 分的独立打分，最终按权重核算总分：</w:t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</w:rPr>
              <w:t>评分维度</w:t>
            </w:r>
          </w:p>
        </w:tc>
        <w:tc>
          <w:tcPr>
            <w:tcW w:type="dxa" w:w="1504"/>
          </w:tcPr>
          <w:p>
            <w:r>
              <w:rPr>
                <w:b/>
              </w:rPr>
              <w:t>5 分 (优秀)</w:t>
            </w:r>
          </w:p>
        </w:tc>
        <w:tc>
          <w:tcPr>
            <w:tcW w:type="dxa" w:w="1504"/>
          </w:tcPr>
          <w:p>
            <w:r>
              <w:rPr>
                <w:b/>
              </w:rPr>
              <w:t>4 分 (良好)</w:t>
            </w:r>
          </w:p>
        </w:tc>
        <w:tc>
          <w:tcPr>
            <w:tcW w:type="dxa" w:w="1504"/>
          </w:tcPr>
          <w:p>
            <w:r>
              <w:rPr>
                <w:b/>
              </w:rPr>
              <w:t>3 分 (及格)</w:t>
            </w:r>
          </w:p>
        </w:tc>
        <w:tc>
          <w:tcPr>
            <w:tcW w:type="dxa" w:w="1504"/>
          </w:tcPr>
          <w:p>
            <w:r>
              <w:rPr>
                <w:b/>
              </w:rPr>
              <w:t>2 分 (较差)</w:t>
            </w:r>
          </w:p>
        </w:tc>
        <w:tc>
          <w:tcPr>
            <w:tcW w:type="dxa" w:w="1504"/>
          </w:tcPr>
          <w:p>
            <w:r>
              <w:rPr>
                <w:b/>
              </w:rPr>
              <w:t>1 分 (极差)</w:t>
            </w:r>
          </w:p>
        </w:tc>
      </w:tr>
      <w:tr>
        <w:tc>
          <w:tcPr>
            <w:tcW w:type="dxa" w:w="1504"/>
          </w:tcPr>
          <w:p>
            <w:r>
              <w:rPr>
                <w:b/>
              </w:rPr>
              <w:t>事实与数据层</w:t>
              <w:br/>
              <w:t>(40%权重)</w:t>
            </w:r>
          </w:p>
        </w:tc>
        <w:tc>
          <w:tcPr>
            <w:tcW w:type="dxa" w:w="1504"/>
          </w:tcPr>
          <w:p>
            <w:r>
              <w:t>精准提取所有关键业务数据和实体，无遗漏，与底层事实 100% 吻合。</w:t>
            </w:r>
          </w:p>
        </w:tc>
        <w:tc>
          <w:tcPr>
            <w:tcW w:type="dxa" w:w="1504"/>
          </w:tcPr>
          <w:p>
            <w:r>
              <w:t>提取大部分核心数据，次要数据轻微遗漏，不影响整体准确性。</w:t>
            </w:r>
          </w:p>
        </w:tc>
        <w:tc>
          <w:tcPr>
            <w:tcW w:type="dxa" w:w="1504"/>
          </w:tcPr>
          <w:p>
            <w:r>
              <w:t>存在部分关键数据缺失，或使用了模糊的定性描述而非精确数值。</w:t>
            </w:r>
          </w:p>
        </w:tc>
        <w:tc>
          <w:tcPr>
            <w:tcW w:type="dxa" w:w="1504"/>
          </w:tcPr>
          <w:p>
            <w:r>
              <w:t>关键数据提取错误或遗漏严重，事实基础薄弱。</w:t>
            </w:r>
          </w:p>
        </w:tc>
        <w:tc>
          <w:tcPr>
            <w:tcW w:type="dxa" w:w="1504"/>
          </w:tcPr>
          <w:p>
            <w:r>
              <w:t>完全没有引用数据，或出现严重的“数据幻觉”（凭空捏造）。</w:t>
            </w:r>
          </w:p>
        </w:tc>
      </w:tr>
      <w:tr>
        <w:tc>
          <w:tcPr>
            <w:tcW w:type="dxa" w:w="1504"/>
          </w:tcPr>
          <w:p>
            <w:r>
              <w:rPr>
                <w:b/>
              </w:rPr>
              <w:t>归纳与分析层</w:t>
              <w:br/>
              <w:t>(30%权重)</w:t>
            </w:r>
          </w:p>
        </w:tc>
        <w:tc>
          <w:tcPr>
            <w:tcW w:type="dxa" w:w="1504"/>
          </w:tcPr>
          <w:p>
            <w:r>
              <w:t>洞察极其深刻，精准击中业务根因，逻辑推演严密且闭环。</w:t>
            </w:r>
          </w:p>
        </w:tc>
        <w:tc>
          <w:tcPr>
            <w:tcW w:type="dxa" w:w="1504"/>
          </w:tcPr>
          <w:p>
            <w:r>
              <w:t>分析逻辑合理，指出主要问题，但深度略显不足，偏向现象总结。</w:t>
            </w:r>
          </w:p>
        </w:tc>
        <w:tc>
          <w:tcPr>
            <w:tcW w:type="dxa" w:w="1504"/>
          </w:tcPr>
          <w:p>
            <w:r>
              <w:t>逻辑尚可，但分析较为模式化或套话，缺乏针对性解读。</w:t>
            </w:r>
          </w:p>
        </w:tc>
        <w:tc>
          <w:tcPr>
            <w:tcW w:type="dxa" w:w="1504"/>
          </w:tcPr>
          <w:p>
            <w:r>
              <w:t>归因错误，逻辑混乱，或结论与前文事实数据相矛盾。</w:t>
            </w:r>
          </w:p>
        </w:tc>
        <w:tc>
          <w:tcPr>
            <w:tcW w:type="dxa" w:w="1504"/>
          </w:tcPr>
          <w:p>
            <w:r>
              <w:t>毫无分析可言，仅重复数据，或完全答非所问。</w:t>
            </w:r>
          </w:p>
        </w:tc>
      </w:tr>
      <w:tr>
        <w:tc>
          <w:tcPr>
            <w:tcW w:type="dxa" w:w="1504"/>
          </w:tcPr>
          <w:p>
            <w:r>
              <w:rPr>
                <w:b/>
              </w:rPr>
              <w:t>落地与建议层</w:t>
              <w:br/>
              <w:t>(30%权重)</w:t>
            </w:r>
          </w:p>
        </w:tc>
        <w:tc>
          <w:tcPr>
            <w:tcW w:type="dxa" w:w="1504"/>
          </w:tcPr>
          <w:p>
            <w:r>
              <w:t>建议极具实操性、针对性，能直接转化为管理动作（有明确抓手）。</w:t>
            </w:r>
          </w:p>
        </w:tc>
        <w:tc>
          <w:tcPr>
            <w:tcW w:type="dxa" w:w="1504"/>
          </w:tcPr>
          <w:p>
            <w:r>
              <w:t>建议具备一定可行性，方向正确，但在具体落地细节上略显宽泛。</w:t>
            </w:r>
          </w:p>
        </w:tc>
        <w:tc>
          <w:tcPr>
            <w:tcW w:type="dxa" w:w="1504"/>
          </w:tcPr>
          <w:p>
            <w:r>
              <w:t>建议属于行业“车轱辘话”（如“加强管理”），放之四海而皆准。</w:t>
            </w:r>
          </w:p>
        </w:tc>
        <w:tc>
          <w:tcPr>
            <w:tcW w:type="dxa" w:w="1504"/>
          </w:tcPr>
          <w:p>
            <w:r>
              <w:t>建议不切实际，或完全无法在当前业务场景下落地。</w:t>
            </w:r>
          </w:p>
        </w:tc>
        <w:tc>
          <w:tcPr>
            <w:tcW w:type="dxa" w:w="1504"/>
          </w:tcPr>
          <w:p>
            <w:r>
              <w:t>未给出任何建议，或给出的建议会对业务产生负面影响。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t>自动化测试实施路径：</w:t>
      </w:r>
    </w:p>
    <w:p>
      <w:pPr>
        <w:spacing w:before="120" w:after="120" w:line="288" w:lineRule="auto"/>
        <w:ind w:left="453"/>
      </w:pPr>
      <w:r>
        <w:t>1) 数据捕获：通过 RPA 脚本批量拉取智能体对 30 道开放题的实际回答，落盘至 result.xlsx 的“智能体回复”列。</w:t>
      </w:r>
    </w:p>
    <w:p>
      <w:pPr>
        <w:spacing w:after="120"/>
        <w:ind w:left="453"/>
        <w:jc w:val="center"/>
      </w:pPr>
      <w:r>
        <w:t>2) 裁判审阅：评测脚本循环读取“用户提问 + 三段式标准答案 + 智能体实际回复”，将三者拼装进入裁判大模型的 Prompt 模板。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t>3) 量化定级：由裁判大模型以专家视角输出分数（1-5分）与详细的扣分理由。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t>4) 人工兜底 (Human-in-the-loop)：仅对裁判大模型给出异常低分（&lt;3分）或涉嫌严重幻觉的极端 Case 触发人工介入复检。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b/>
        </w:rPr>
        <w:t>3. 测试用例与评分展示（典型示例）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>为了更直观地展示打分逻辑，以下提供了开放与非开放问题的标准范例与评分解析：</w:t>
        <w:br/>
      </w:r>
    </w:p>
    <w:p>
      <w:r>
        <w:rPr>
          <w:b/>
        </w:rPr>
        <w:t>【示例 A】非开放问题（客观事实与逻辑计算）</w:t>
      </w:r>
    </w:p>
    <w:p>
      <w:r>
        <w:t>• 测试提问：“当前总金额超千万且净利率低于 10% 的大额低利润合同共有多少个？”</w:t>
      </w:r>
    </w:p>
    <w:p>
      <w:r>
        <w:t>• Ground Truth（系统真理）：28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回复质量</w:t>
            </w:r>
          </w:p>
        </w:tc>
        <w:tc>
          <w:tcPr>
            <w:tcW w:type="dxa" w:w="2256"/>
          </w:tcPr>
          <w:p>
            <w:r>
              <w:t>智能体回复示例</w:t>
            </w:r>
          </w:p>
        </w:tc>
        <w:tc>
          <w:tcPr>
            <w:tcW w:type="dxa" w:w="2256"/>
          </w:tcPr>
          <w:p>
            <w:r>
              <w:t>自动化评估逻辑</w:t>
            </w:r>
          </w:p>
        </w:tc>
        <w:tc>
          <w:tcPr>
            <w:tcW w:type="dxa" w:w="2256"/>
          </w:tcPr>
          <w:p>
            <w:r>
              <w:t>最终得分</w:t>
            </w:r>
          </w:p>
        </w:tc>
      </w:tr>
      <w:tr>
        <w:tc>
          <w:tcPr>
            <w:tcW w:type="dxa" w:w="2256"/>
          </w:tcPr>
          <w:p>
            <w:r>
              <w:t>优秀</w:t>
            </w:r>
          </w:p>
        </w:tc>
        <w:tc>
          <w:tcPr>
            <w:tcW w:type="dxa" w:w="2256"/>
          </w:tcPr>
          <w:p>
            <w:r>
              <w:t>“根据系统数据查询，当前金额超千万且净利率&lt;10%的合同共有 28 个。”</w:t>
            </w:r>
          </w:p>
        </w:tc>
        <w:tc>
          <w:tcPr>
            <w:tcW w:type="dxa" w:w="2256"/>
          </w:tcPr>
          <w:p>
            <w:r>
              <w:t>自动化脚本判定：正则精准提取到核心数值 28，与 Ground Truth 完全等值匹配。</w:t>
            </w:r>
          </w:p>
        </w:tc>
        <w:tc>
          <w:tcPr>
            <w:tcW w:type="dxa" w:w="2256"/>
          </w:tcPr>
          <w:p>
            <w:r>
              <w:t>5 分</w:t>
            </w:r>
          </w:p>
        </w:tc>
      </w:tr>
      <w:tr>
        <w:tc>
          <w:tcPr>
            <w:tcW w:type="dxa" w:w="2256"/>
          </w:tcPr>
          <w:p>
            <w:r>
              <w:t>不及格</w:t>
            </w:r>
          </w:p>
        </w:tc>
        <w:tc>
          <w:tcPr>
            <w:tcW w:type="dxa" w:w="2256"/>
          </w:tcPr>
          <w:p>
            <w:r>
              <w:t>“当前此类大额低利合同共有 25 个，主要集中在软件智能业务线。”</w:t>
            </w:r>
          </w:p>
        </w:tc>
        <w:tc>
          <w:tcPr>
            <w:tcW w:type="dxa" w:w="2256"/>
          </w:tcPr>
          <w:p>
            <w:r>
              <w:t>自动化脚本判定：提取数值为 25，与事实严重不符，判定为计算错误或出现幻觉。</w:t>
            </w:r>
          </w:p>
        </w:tc>
        <w:tc>
          <w:tcPr>
            <w:tcW w:type="dxa" w:w="2256"/>
          </w:tcPr>
          <w:p>
            <w:r>
              <w:t>0 分</w:t>
            </w:r>
          </w:p>
        </w:tc>
      </w:tr>
    </w:tbl>
    <w:p>
      <w:r>
        <w:rPr>
          <w:b/>
        </w:rPr>
        <w:br/>
        <w:t>【示例 B】开放问题（主观洞察与策略推演）</w:t>
      </w:r>
    </w:p>
    <w:p>
      <w:r>
        <w:t>• 测试提问：“为什么数智运营产品线的商机转化率偏低？请结合数据给出破局建议。”</w:t>
      </w:r>
    </w:p>
    <w:p>
      <w:r>
        <w:t>• 标准评估基准（三段式 Target）：</w:t>
      </w:r>
    </w:p>
    <w:p>
      <w:r>
        <w:t xml:space="preserve">  1) 事实与数据：赢单率约 51.37%，排除原因 Top2 为商务条款(25个)与延期(25个)。</w:t>
      </w:r>
    </w:p>
    <w:p>
      <w:r>
        <w:t xml:space="preserve">  2) 洞察与分析：转化偏低的核心流失原因为“项目周期拖延”与“商务价格底线未达成一致”。</w:t>
      </w:r>
    </w:p>
    <w:p>
      <w:r>
        <w:t xml:space="preserve">  3) 落地建议：建立里程碑追踪防延期，推出模块化/分级报价方案降低商务门槛。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回复质量</w:t>
            </w:r>
          </w:p>
        </w:tc>
        <w:tc>
          <w:tcPr>
            <w:tcW w:type="dxa" w:w="2256"/>
          </w:tcPr>
          <w:p>
            <w:r>
              <w:t>智能体回复示例</w:t>
            </w:r>
          </w:p>
        </w:tc>
        <w:tc>
          <w:tcPr>
            <w:tcW w:type="dxa" w:w="2256"/>
          </w:tcPr>
          <w:p>
            <w:r>
              <w:t>LLM 裁判打分逻辑拆解</w:t>
            </w:r>
          </w:p>
        </w:tc>
        <w:tc>
          <w:tcPr>
            <w:tcW w:type="dxa" w:w="2256"/>
          </w:tcPr>
          <w:p>
            <w:r>
              <w:t>最终得分</w:t>
            </w:r>
          </w:p>
        </w:tc>
      </w:tr>
      <w:tr>
        <w:tc>
          <w:tcPr>
            <w:tcW w:type="dxa" w:w="2256"/>
          </w:tcPr>
          <w:p>
            <w:r>
              <w:t>优秀</w:t>
            </w:r>
          </w:p>
        </w:tc>
        <w:tc>
          <w:tcPr>
            <w:tcW w:type="dxa" w:w="2256"/>
          </w:tcPr>
          <w:p>
            <w:r>
              <w:t>“目前数智运营产品线赢单率徘徊在 51% 左右，主要痛点在于商务条款分歧以及项目审批延期导致大量商机流失。建议针对延期现象设立阶段停留红线并加强追踪；针对商务难点，方案团队应推出敏捷版/豪华版的梯次化报价策略，以提升最终转化。”</w:t>
            </w:r>
          </w:p>
        </w:tc>
        <w:tc>
          <w:tcPr>
            <w:tcW w:type="dxa" w:w="2256"/>
          </w:tcPr>
          <w:p>
            <w:r>
              <w:t>事实层(2分)：覆盖核心数据。</w:t>
              <w:br/>
              <w:t>洞察层(1.5分)：指出延期与条款痛点。</w:t>
              <w:br/>
              <w:t>建议层(1.5分)：梯次报价与防延期追踪完全具备实操性。</w:t>
            </w:r>
          </w:p>
        </w:tc>
        <w:tc>
          <w:tcPr>
            <w:tcW w:type="dxa" w:w="2256"/>
          </w:tcPr>
          <w:p>
            <w:r>
              <w:t>5 分</w:t>
            </w:r>
          </w:p>
        </w:tc>
      </w:tr>
      <w:tr>
        <w:tc>
          <w:tcPr>
            <w:tcW w:type="dxa" w:w="2256"/>
          </w:tcPr>
          <w:p>
            <w:r>
              <w:t>不及格</w:t>
            </w:r>
          </w:p>
        </w:tc>
        <w:tc>
          <w:tcPr>
            <w:tcW w:type="dxa" w:w="2256"/>
          </w:tcPr>
          <w:p>
            <w:r>
              <w:t>“数智运营产品线商机转化率低主要是因为前端销售团队不够努力，产品缺乏吸引力。建议大家多跑一线跟客户沟通，了解客户真实想法，争取多签单。”</w:t>
            </w:r>
          </w:p>
        </w:tc>
        <w:tc>
          <w:tcPr>
            <w:tcW w:type="dxa" w:w="2256"/>
          </w:tcPr>
          <w:p>
            <w:r>
              <w:t>事实层(0分)：完全缺失真实数据。</w:t>
              <w:br/>
              <w:t>洞察层(0.5分)：归因流于表面。</w:t>
              <w:br/>
              <w:t>建议层(0.5分)：建议宽泛空洞，属无效车轱辘话。</w:t>
            </w:r>
          </w:p>
        </w:tc>
        <w:tc>
          <w:tcPr>
            <w:tcW w:type="dxa" w:w="2256"/>
          </w:tcPr>
          <w:p>
            <w:r>
              <w:t>1 分</w:t>
              <w:br/>
              <w:t>(触发人工复检)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r>
        <w:t>四. 核心度量指标体系 (Core Evaluation Metrics)</w:t>
      </w:r>
    </w:p>
    <w:p>
      <w:r>
        <w:t>本方案摒弃了传统的单一黑盒打分，构建了涵盖“精确度、鲁棒性、可溯源性”的 3D 黄金度量矩阵，以确保智能体在真实高管应用场景下的极致可靠。</w:t>
      </w:r>
    </w:p>
    <w:p/>
    <w:p/>
    <w:p/>
    <w:p>
      <w:pPr/>
      <w:r>
        <w:t>五. 自动化与智能化测试执行流程</w:t>
      </w:r>
      <w:r>
        <w:br/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6405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题库构建与基准锁定 (Test Case Engineering)：基于真实的「商机表」与「合同表」等底层核心数据，构建 80 道高拟真度经营分析问题（50 道高阶逻辑非开放题 + 30 道老板视角灵魂拷问开放题）。通过 Python 脚本计算并绝对锁定各题的 Ground Truth 及「三段式」评估基准，确保后续裁判标准的零误差与客观性。</w:t>
      </w:r>
    </w:p>
    <w:p>
      <w:r>
        <w:t>2. RPA 无人值守执行 (Robotic Process Automation)：引入 Playwright 自动化引擎，挂载 RPA 脚本对智能体交互界面进行无人值守跑批提问。脚本将自动注入测试数据、监听动态流式输出、提取完整回答文本，并将结果秒级落盘至数据表（result.xlsx），彻底消除人工操作带来的低效与人为干扰。</w:t>
      </w:r>
    </w:p>
    <w:p>
      <w:r>
        <w:t>3. 双轨智能交叉验证 (Dual-Track Validation)：</w:t>
        <w:br/>
        <w:t xml:space="preserve">   • 非开放题（硬性校验）：通过正则提取与实体识别脚本，将智能体回复的数值、列表与 Ground Truth 进行毫秒级精准比对。</w:t>
        <w:br/>
        <w:t xml:space="preserve">   • 开放题（LLM-as-a-Judge）：将智能体输出的非结构化长文本喂入高阶裁判大模型，严格按照「事实准确度、业务洞察力、建议可行性」三维评分矩阵进行语义解析与量化打分。仅对裁判给出的异常低分或涉嫌“严重幻觉”的案例触发人工复检（Human-in-the-loop），实现极高水准的评测自动化率。</w:t>
      </w:r>
    </w:p>
    <w:p>
      <w:r>
        <w:t>4. 缺陷洞察与高维报告产出 (Metrics &amp; Insights Reporting)：聚合准确性、一致性与无幻觉性三大核心指标，自动生成可视化评测矩阵。拒绝只交出冰冷的测试分数，着重提炼智能体在“意图理解偏差、底层数据检索遗漏、深层逻辑推理断层”等维度的典型 Bad Case，用以反向倒逼经分智能体底层 RAG 链路与架构的精准迭代。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235">
    <w:lvl>
      <w:numFmt w:val="bullet"/>
      <w:suff w:val="tab"/>
      <w:lvlText w:val="•"/>
      <w:rPr>
        <w:color w:val="3370ff"/>
      </w:rPr>
    </w:lvl>
  </w:abstractNum>
  <w:abstractNum w:abstractNumId="68236">
    <w:lvl>
      <w:numFmt w:val="bullet"/>
      <w:suff w:val="tab"/>
      <w:lvlText w:val="•"/>
      <w:rPr>
        <w:color w:val="3370ff"/>
      </w:rPr>
    </w:lvl>
  </w:abstractNum>
  <w:abstractNum w:abstractNumId="68237">
    <w:lvl>
      <w:numFmt w:val="bullet"/>
      <w:suff w:val="tab"/>
      <w:lvlText w:val="•"/>
      <w:rPr>
        <w:color w:val="3370ff"/>
      </w:rPr>
    </w:lvl>
  </w:abstractNum>
  <w:abstractNum w:abstractNumId="68238">
    <w:lvl>
      <w:numFmt w:val="bullet"/>
      <w:suff w:val="tab"/>
      <w:lvlText w:val="•"/>
      <w:rPr>
        <w:color w:val="3370ff"/>
      </w:rPr>
    </w:lvl>
  </w:abstractNum>
  <w:abstractNum w:abstractNumId="68239">
    <w:lvl>
      <w:numFmt w:val="bullet"/>
      <w:suff w:val="tab"/>
      <w:lvlText w:val="•"/>
      <w:rPr>
        <w:color w:val="3370ff"/>
      </w:rPr>
    </w:lvl>
  </w:abstractNum>
  <w:abstractNum w:abstractNumId="68240">
    <w:lvl>
      <w:numFmt w:val="bullet"/>
      <w:suff w:val="tab"/>
      <w:lvlText w:val="•"/>
      <w:rPr>
        <w:color w:val="3370ff"/>
      </w:rPr>
    </w:lvl>
  </w:abstractNum>
  <w:abstractNum w:abstractNumId="68241">
    <w:lvl>
      <w:numFmt w:val="bullet"/>
      <w:suff w:val="tab"/>
      <w:lvlText w:val="￮"/>
      <w:rPr>
        <w:color w:val="3370ff"/>
      </w:rPr>
    </w:lvl>
  </w:abstractNum>
  <w:abstractNum w:abstractNumId="68242">
    <w:lvl>
      <w:numFmt w:val="bullet"/>
      <w:suff w:val="tab"/>
      <w:lvlText w:val="￮"/>
      <w:rPr>
        <w:color w:val="3370ff"/>
      </w:rPr>
    </w:lvl>
  </w:abstractNum>
  <w:abstractNum w:abstractNumId="68243">
    <w:lvl>
      <w:numFmt w:val="bullet"/>
      <w:suff w:val="tab"/>
      <w:lvlText w:val="▪"/>
      <w:rPr>
        <w:color w:val="3370ff"/>
        <w:sz w:val="11"/>
      </w:rPr>
    </w:lvl>
  </w:abstractNum>
  <w:abstractNum w:abstractNumId="68244">
    <w:lvl>
      <w:numFmt w:val="bullet"/>
      <w:suff w:val="tab"/>
      <w:lvlText w:val="•"/>
      <w:rPr>
        <w:color w:val="3370ff"/>
      </w:rPr>
    </w:lvl>
  </w:abstractNum>
  <w:abstractNum w:abstractNumId="68245">
    <w:lvl>
      <w:numFmt w:val="bullet"/>
      <w:suff w:val="tab"/>
      <w:lvlText w:val="￮"/>
      <w:rPr>
        <w:color w:val="3370ff"/>
      </w:rPr>
    </w:lvl>
  </w:abstractNum>
  <w:abstractNum w:abstractNumId="68246">
    <w:lvl>
      <w:numFmt w:val="bullet"/>
      <w:suff w:val="tab"/>
      <w:lvlText w:val="￮"/>
      <w:rPr>
        <w:color w:val="3370ff"/>
      </w:rPr>
    </w:lvl>
  </w:abstractNum>
  <w:abstractNum w:abstractNumId="68247">
    <w:lvl>
      <w:numFmt w:val="bullet"/>
      <w:suff w:val="tab"/>
      <w:lvlText w:val="▪"/>
      <w:rPr>
        <w:color w:val="3370ff"/>
        <w:sz w:val="11"/>
      </w:rPr>
    </w:lvl>
  </w:abstractNum>
  <w:abstractNum w:abstractNumId="68248">
    <w:lvl>
      <w:numFmt w:val="bullet"/>
      <w:suff w:val="tab"/>
      <w:lvlText w:val="▪"/>
      <w:rPr>
        <w:color w:val="3370ff"/>
        <w:sz w:val="11"/>
      </w:rPr>
    </w:lvl>
  </w:abstractNum>
  <w:abstractNum w:abstractNumId="68249">
    <w:lvl>
      <w:numFmt w:val="bullet"/>
      <w:suff w:val="tab"/>
      <w:lvlText w:val="▪"/>
      <w:rPr>
        <w:color w:val="3370ff"/>
        <w:sz w:val="11"/>
      </w:rPr>
    </w:lvl>
  </w:abstractNum>
  <w:abstractNum w:abstractNumId="68250">
    <w:lvl>
      <w:numFmt w:val="bullet"/>
      <w:suff w:val="tab"/>
      <w:lvlText w:val="▪"/>
      <w:rPr>
        <w:color w:val="3370ff"/>
        <w:sz w:val="11"/>
      </w:rPr>
    </w:lvl>
  </w:abstractNum>
  <w:abstractNum w:abstractNumId="68251">
    <w:lvl>
      <w:numFmt w:val="bullet"/>
      <w:suff w:val="tab"/>
      <w:lvlText w:val="￮"/>
      <w:rPr>
        <w:color w:val="3370ff"/>
      </w:rPr>
    </w:lvl>
  </w:abstractNum>
  <w:abstractNum w:abstractNumId="68252">
    <w:lvl>
      <w:numFmt w:val="bullet"/>
      <w:suff w:val="tab"/>
      <w:lvlText w:val="•"/>
      <w:rPr>
        <w:color w:val="3370ff"/>
      </w:rPr>
    </w:lvl>
  </w:abstractNum>
  <w:abstractNum w:abstractNumId="68253">
    <w:lvl>
      <w:numFmt w:val="bullet"/>
      <w:suff w:val="tab"/>
      <w:lvlText w:val="•"/>
      <w:rPr>
        <w:color w:val="3370ff"/>
      </w:rPr>
    </w:lvl>
  </w:abstractNum>
  <w:abstractNum w:abstractNumId="68254">
    <w:lvl>
      <w:numFmt w:val="bullet"/>
      <w:suff w:val="tab"/>
      <w:lvlText w:val="•"/>
      <w:rPr>
        <w:color w:val="3370ff"/>
      </w:rPr>
    </w:lvl>
  </w:abstractNum>
  <w:abstractNum w:abstractNumId="68255">
    <w:lvl>
      <w:numFmt w:val="bullet"/>
      <w:suff w:val="tab"/>
      <w:lvlText w:val="•"/>
      <w:rPr>
        <w:color w:val="3370ff"/>
      </w:rPr>
    </w:lvl>
  </w:abstractNum>
  <w:abstractNum w:abstractNumId="68256">
    <w:lvl>
      <w:numFmt w:val="bullet"/>
      <w:suff w:val="tab"/>
      <w:lvlText w:val="•"/>
      <w:rPr>
        <w:color w:val="3370ff"/>
      </w:rPr>
    </w:lvl>
  </w:abstractNum>
  <w:num w:numId="1">
    <w:abstractNumId w:val="68235"/>
  </w:num>
  <w:num w:numId="2">
    <w:abstractNumId w:val="68236"/>
  </w:num>
  <w:num w:numId="3">
    <w:abstractNumId w:val="68237"/>
  </w:num>
  <w:num w:numId="4">
    <w:abstractNumId w:val="68238"/>
  </w:num>
  <w:num w:numId="5">
    <w:abstractNumId w:val="68239"/>
  </w:num>
  <w:num w:numId="6">
    <w:abstractNumId w:val="68240"/>
  </w:num>
  <w:num w:numId="7">
    <w:abstractNumId w:val="68241"/>
  </w:num>
  <w:num w:numId="8">
    <w:abstractNumId w:val="68242"/>
  </w:num>
  <w:num w:numId="9">
    <w:abstractNumId w:val="68243"/>
  </w:num>
  <w:num w:numId="10">
    <w:abstractNumId w:val="68244"/>
  </w:num>
  <w:num w:numId="11">
    <w:abstractNumId w:val="68245"/>
  </w:num>
  <w:num w:numId="12">
    <w:abstractNumId w:val="68246"/>
  </w:num>
  <w:num w:numId="13">
    <w:abstractNumId w:val="68247"/>
  </w:num>
  <w:num w:numId="14">
    <w:abstractNumId w:val="68248"/>
  </w:num>
  <w:num w:numId="15">
    <w:abstractNumId w:val="68249"/>
  </w:num>
  <w:num w:numId="16">
    <w:abstractNumId w:val="68250"/>
  </w:num>
  <w:num w:numId="17">
    <w:abstractNumId w:val="68251"/>
  </w:num>
  <w:num w:numId="18">
    <w:abstractNumId w:val="68252"/>
  </w:num>
  <w:num w:numId="19">
    <w:abstractNumId w:val="68253"/>
  </w:num>
  <w:num w:numId="20">
    <w:abstractNumId w:val="68254"/>
  </w:num>
  <w:num w:numId="21">
    <w:abstractNumId w:val="68255"/>
  </w:num>
  <w:num w:numId="22">
    <w:abstractNumId w:val="682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package" Target="embeddings/Microsoft_Excel_Worksheet4.xlsx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package" Target="embeddings/Microsoft_Excel_Worksheet1.xlsx"/><Relationship Id="rId6" Type="http://schemas.openxmlformats.org/officeDocument/2006/relationships/image" Target="media/image1.png"/><Relationship Id="rId7" Type="http://schemas.openxmlformats.org/officeDocument/2006/relationships/package" Target="embeddings/Microsoft_Excel_Worksheet2.xlsx"/><Relationship Id="rId8" Type="http://schemas.openxmlformats.org/officeDocument/2006/relationships/image" Target="media/image2.png"/><Relationship Id="rId9" Type="http://schemas.openxmlformats.org/officeDocument/2006/relationships/package" Target="embeddings/Microsoft_Excel_Worksheet3.xlsx"/><Relationship Id="rId14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2026-02-10T08:46:22Z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400e4c00065d11f1800015dc000015dc" pid="2" fmtid="{D5CDD505-2E9C-101B-9397-08002B2CF9AE}">
    <vt:lpwstr>CWMuxoujvrpWmJiicDqUoPHWQam0QRZetTzhwDCdMRPV/wmpK6sF7nHRq7g3fq0VFGnfC3WP2QoO0ZEd0qTROl4Qw==</vt:lpwstr>
  </property>
</Properties>
</file>