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经分智能体测试方案2.0</w:t>
      </w:r>
    </w:p>
    <w:p>
      <w:pPr>
        <w:pStyle w:val="3"/>
        <w:spacing w:before="300" w:after="120" w:line="288" w:lineRule="auto"/>
        <w:ind w:left="0"/>
        <w:jc w:val="left"/>
        <w:outlineLvl w:val="2"/>
      </w:pPr>
      <w:r>
        <w:t>经分智能体效果测试方案2.0（问题驱动测试，自动化评估与人工复检）</w:t>
      </w:r>
    </w:p>
    <w:p>
      <w:pPr>
        <w:pStyle w:val="4"/>
        <w:spacing w:before="260" w:after="120" w:line="288" w:lineRule="auto"/>
        <w:ind w:left="0"/>
        <w:jc w:val="left"/>
        <w:outlineLvl w:val="3"/>
      </w:pPr>
      <w:bookmarkStart w:name="heading_1" w:id="1"/>
      <w:r>
        <w:rPr>
          <w:rFonts w:eastAsia="等线" w:ascii="Arial" w:cs="Arial" w:hAnsi="Arial"/>
          <w:b w:val="true"/>
          <w:sz w:val="28"/>
        </w:rPr>
        <w:t>一. 测试背景与目的</w:t>
      </w:r>
      <w:bookmarkEnd w:id="1"/>
    </w:p>
    <w:p>
      <w:pPr>
        <w:spacing w:before="120" w:after="120" w:line="288" w:lineRule="auto"/>
        <w:ind w:left="0"/>
        <w:jc w:val="left"/>
      </w:pPr>
      <w:r>
        <w:t>方案2.0转向问题驱动测试：模拟真实用户自然语言提问，通过对话接口验证回复效果。采用自动化验证体系，直接手动计算/判断开放问题和非开放问题的值（准确性）。</w:t>
      </w:r>
    </w:p>
    <w:p>
      <w:pPr>
        <w:spacing w:before="120" w:after="120" w:line="288" w:lineRule="auto"/>
        <w:ind w:left="0"/>
        <w:jc w:val="left"/>
      </w:pPr>
      <w:r>
        <w:rPr>
          <w:rFonts w:eastAsia="等线" w:ascii="Arial" w:cs="Arial" w:hAnsi="Arial"/>
          <w:b w:val="true"/>
          <w:sz w:val="22"/>
        </w:rPr>
        <w:t>测试目的</w:t>
      </w:r>
      <w:r>
        <w:rPr>
          <w:rFonts w:eastAsia="等线" w:ascii="Arial" w:cs="Arial" w:hAnsi="Arial"/>
          <w:sz w:val="22"/>
        </w:rPr>
        <w:t>：</w:t>
      </w:r>
    </w:p>
    <w:p>
      <w:pPr>
        <w:numPr>
          <w:numId w:val="1"/>
        </w:numPr>
        <w:spacing w:before="120" w:after="120" w:line="288" w:lineRule="auto"/>
        <w:ind w:left="0"/>
        <w:jc w:val="left"/>
      </w:pPr>
      <w:r>
        <w:rPr>
          <w:rFonts w:eastAsia="等线" w:ascii="Arial" w:cs="Arial" w:hAnsi="Arial"/>
          <w:sz w:val="22"/>
        </w:rPr>
        <w:t>评估智能体对不同类型问题的回复准确性（事实准、逻辑严、建议可行、无幻觉）。</w:t>
      </w:r>
    </w:p>
    <w:p>
      <w:pPr>
        <w:numPr>
          <w:numId w:val="2"/>
        </w:numPr>
        <w:spacing w:before="120" w:after="120" w:line="288" w:lineRule="auto"/>
        <w:ind w:left="0"/>
        <w:jc w:val="left"/>
      </w:pPr>
      <w:r>
        <w:rPr>
          <w:rFonts w:eastAsia="等线" w:ascii="Arial" w:cs="Arial" w:hAnsi="Arial"/>
          <w:sz w:val="22"/>
        </w:rPr>
        <w:t>验证从浅层事实查询到深度分析 + 建议的能力跃升。</w:t>
      </w:r>
    </w:p>
    <w:p>
      <w:pPr>
        <w:pStyle w:val="4"/>
        <w:spacing w:before="260" w:after="120" w:line="288" w:lineRule="auto"/>
        <w:ind w:left="0"/>
        <w:jc w:val="left"/>
        <w:outlineLvl w:val="3"/>
      </w:pPr>
      <w:bookmarkStart w:name="heading_2" w:id="2"/>
      <w:r>
        <w:rPr>
          <w:rFonts w:eastAsia="等线" w:ascii="Arial" w:cs="Arial" w:hAnsi="Arial"/>
          <w:b w:val="true"/>
          <w:sz w:val="28"/>
        </w:rPr>
        <w:t>二. 测试范围</w:t>
      </w:r>
      <w:bookmarkEnd w:id="2"/>
    </w:p>
    <w:p>
      <w:pPr>
        <w:numPr>
          <w:numId w:val="3"/>
        </w:numPr>
        <w:spacing w:before="120" w:after="120" w:line="288" w:lineRule="auto"/>
        <w:ind w:left="0"/>
        <w:jc w:val="left"/>
      </w:pPr>
      <w:r>
        <w:rPr>
          <w:rFonts w:eastAsia="等线" w:ascii="Arial" w:cs="Arial" w:hAnsi="Arial"/>
          <w:b w:val="true"/>
          <w:sz w:val="22"/>
        </w:rPr>
        <w:t>输入</w:t>
      </w:r>
      <w:r>
        <w:rPr>
          <w:rFonts w:eastAsia="等线" w:ascii="Arial" w:cs="Arial" w:hAnsi="Arial"/>
          <w:sz w:val="22"/>
        </w:rPr>
        <w:t>：构造问题集（</w:t>
      </w:r>
      <w:r>
        <w:rPr>
          <w:rFonts w:eastAsia="等线" w:ascii="Arial" w:cs="Arial" w:hAnsi="Arial"/>
          <w:sz w:val="22"/>
          <w:shd w:fill="fff67a"/>
        </w:rPr>
        <w:t>80-100个</w:t>
      </w:r>
      <w:r>
        <w:rPr>
          <w:rFonts w:eastAsia="等线" w:ascii="Arial" w:cs="Arial" w:hAnsi="Arial"/>
          <w:sz w:val="22"/>
        </w:rPr>
        <w:t>）。</w:t>
      </w:r>
    </w:p>
    <w:p>
      <w:pPr>
        <w:numPr>
          <w:numId w:val="4"/>
        </w:numPr>
        <w:spacing w:before="120" w:after="120" w:line="288" w:lineRule="auto"/>
        <w:ind w:left="0"/>
        <w:jc w:val="left"/>
      </w:pPr>
      <w:r>
        <w:rPr>
          <w:rFonts w:eastAsia="等线" w:ascii="Arial" w:cs="Arial" w:hAnsi="Arial"/>
          <w:b w:val="true"/>
          <w:sz w:val="22"/>
        </w:rPr>
        <w:t>方式</w:t>
      </w:r>
      <w:r>
        <w:rPr>
          <w:rFonts w:eastAsia="等线" w:ascii="Arial" w:cs="Arial" w:hAnsi="Arial"/>
          <w:sz w:val="22"/>
        </w:rPr>
        <w:t>：通过大模型对话接口输入问题，记录回复。</w:t>
      </w:r>
    </w:p>
    <w:p>
      <w:pPr>
        <w:numPr>
          <w:numId w:val="5"/>
        </w:numPr>
        <w:spacing w:before="120" w:after="120" w:line="288" w:lineRule="auto"/>
        <w:ind w:left="0"/>
        <w:jc w:val="left"/>
      </w:pPr>
      <w:r>
        <w:rPr>
          <w:rFonts w:eastAsia="等线" w:ascii="Arial" w:cs="Arial" w:hAnsi="Arial"/>
          <w:b w:val="true"/>
          <w:sz w:val="22"/>
        </w:rPr>
        <w:t>问题分类</w:t>
      </w:r>
      <w:r>
        <w:rPr>
          <w:rFonts w:eastAsia="等线" w:ascii="Arial" w:cs="Arial" w:hAnsi="Arial"/>
          <w:sz w:val="22"/>
        </w:rPr>
        <w:t>（两大类）：</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070"/>
        <w:gridCol w:w="2070"/>
        <w:gridCol w:w="2070"/>
        <w:gridCol w:w="2070"/>
      </w:tblGrid>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类型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定义与示例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数量建议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判断重点</w:t>
            </w: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非开放问题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客观事实查询，有明确标准答案（</w:t>
            </w:r>
            <w:r>
              <w:rPr>
                <w:rFonts w:eastAsia="等线" w:ascii="Arial" w:cs="Arial" w:hAnsi="Arial"/>
                <w:sz w:val="22"/>
                <w:shd w:fill="fff67a"/>
              </w:rPr>
              <w:t>数值/列表</w:t>
            </w:r>
            <w:r>
              <w:rPr>
                <w:rFonts w:eastAsia="等线" w:ascii="Arial" w:cs="Arial" w:hAnsi="Arial"/>
                <w:sz w:val="22"/>
              </w:rPr>
              <w:t>）。示例：“当前商机储备总额是多少？”“高风险商机Top3有哪些？”</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50-60个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准确性（事实匹配）</w:t>
            </w:r>
          </w:p>
          <w:p>
            <w:pPr>
              <w:spacing w:before="120" w:after="120" w:line="288" w:lineRule="auto"/>
              <w:ind w:left="0"/>
              <w:jc w:val="left"/>
            </w:pP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主观分析/根因/建议，需要推理。示例：“为什么商机缺口大？”“给出高风险商机缓解建议。”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30-40个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准确性（事实准 + 逻辑严 + 建议可行）</w:t>
            </w:r>
          </w:p>
          <w:p>
            <w:pPr>
              <w:spacing w:before="120" w:after="120" w:line="288" w:lineRule="auto"/>
              <w:ind w:left="0"/>
              <w:jc w:val="left"/>
            </w:pPr>
          </w:p>
        </w:tc>
      </w:tr>
    </w:tbl>
    <w:p>
      <w:pPr>
        <w:pStyle w:val="4"/>
        <w:spacing w:before="260" w:after="120" w:line="288" w:lineRule="auto"/>
        <w:ind w:left="0"/>
        <w:jc w:val="left"/>
        <w:outlineLvl w:val="3"/>
      </w:pPr>
      <w:bookmarkStart w:name="heading_3" w:id="3"/>
      <w:r>
        <w:rPr>
          <w:rFonts w:eastAsia="等线" w:ascii="Arial" w:cs="Arial" w:hAnsi="Arial"/>
          <w:b w:val="true"/>
          <w:sz w:val="28"/>
        </w:rPr>
        <w:t>三. 判断方法</w:t>
      </w:r>
      <w:bookmarkEnd w:id="3"/>
    </w:p>
    <w:p>
      <w:pPr>
        <w:spacing w:before="120" w:after="120" w:line="288" w:lineRule="auto"/>
        <w:ind w:left="0"/>
        <w:jc w:val="left"/>
      </w:pPr>
      <w:r>
        <w:t>采用自动化验证体系，非开放问题直接手动计算回复值作为Ground Truth（基于完整的测试数据和字段计算路径），量化准确性。另外开放性问题待定。</w:t>
      </w:r>
    </w:p>
    <w:p>
      <w:pPr>
        <w:numPr>
          <w:numId w:val="6"/>
        </w:numPr>
        <w:spacing w:before="120" w:after="120" w:line="288" w:lineRule="auto"/>
        <w:ind w:left="0"/>
        <w:jc w:val="left"/>
      </w:pPr>
      <w:r>
        <w:t>非开放问题（客观事实类，脚本自动化比对）：</w:t>
      </w:r>
    </w:p>
    <w:p>
      <w:pPr>
        <w:numPr>
          <w:numId w:val="7"/>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：预定义的Ground Truth（0或者1）。</w:t>
      </w:r>
    </w:p>
    <w:p>
      <w:pPr>
        <w:numPr>
          <w:numId w:val="8"/>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9"/>
        </w:numPr>
        <w:spacing w:before="120" w:after="120" w:line="288" w:lineRule="auto"/>
        <w:ind w:left="907"/>
        <w:jc w:val="left"/>
      </w:pPr>
      <w:r>
        <w:t>自动化对比：拿经分智能体的回复跟Ground Truth的值进行对比，下面是给分标准：</w:t>
      </w:r>
    </w:p>
    <w:p>
      <w:pPr>
        <w:spacing w:before="120" w:after="120" w:line="288" w:lineRule="auto"/>
        <w:ind w:left="907"/>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6" o:title=""/>
          </v:shape>
          <o:OLEObject DrawAspect="Icon" ObjectID="_1718471219" ProgID="Excel.Sheet.12" ShapeID="_x0000_i1025" Type="Embed" r:id="rId5"/>
        </w:object>
      </w:r>
    </w:p>
    <w:p>
      <w:pPr>
        <w:spacing w:after="120"/>
        <w:ind w:left="907"/>
        <w:jc w:val="center"/>
      </w:pPr>
      <w:r>
        <w:rPr>
          <w:rFonts w:eastAsia="等线" w:ascii="Arial" w:cs="Arial" w:hAnsi="Arial"/>
          <w:b w:val="true"/>
          <w:sz w:val="22"/>
        </w:rPr>
        <w:t>点击图片可查看完整电子表格</w:t>
      </w:r>
    </w:p>
    <w:p>
      <w:pPr>
        <w:spacing w:before="120" w:after="120" w:line="288" w:lineRule="auto"/>
        <w:ind w:left="907"/>
        <w:jc w:val="left"/>
      </w:pPr>
      <w:r>
        <w:rPr>
          <w:rFonts w:eastAsia="等线" w:ascii="Arial" w:cs="Arial" w:hAnsi="Arial"/>
          <w:sz w:val="22"/>
        </w:rPr>
        <w:t>示例问题：“当前商机缺口是多少？”</w:t>
      </w:r>
    </w:p>
    <w:p>
      <w:pPr>
        <w:spacing w:before="120" w:after="120" w:line="288" w:lineRule="auto"/>
        <w:ind w:left="907"/>
      </w:pPr>
      <w:r>
        <w:object>
          <v:shape id="_x0000_i1026" style="width:414pt;height:171pt;mso-width-percent:0;mso-height-percent:0;mso-width-percent:0;mso-height-percent:0" type="#_x0000_t75" o:ole="">
            <v:imagedata r:id="rId8" o:title=""/>
          </v:shape>
          <o:OLEObject DrawAspect="Icon" ObjectID="_1718471220" ProgID="Excel.Sheet.12" ShapeID="_x0000_i1026" Type="Embed" r:id="rId7"/>
        </w:object>
      </w:r>
    </w:p>
    <w:p>
      <w:pPr>
        <w:spacing w:after="120"/>
        <w:ind w:left="907"/>
        <w:jc w:val="center"/>
      </w:pPr>
      <w:r>
        <w:rPr>
          <w:rFonts w:eastAsia="等线" w:ascii="Arial" w:cs="Arial" w:hAnsi="Arial"/>
          <w:b w:val="true"/>
          <w:sz w:val="22"/>
        </w:rPr>
        <w:t>点击图片可查看完整电子表格</w:t>
      </w:r>
    </w:p>
    <w:p>
      <w:pPr>
        <w:numPr>
          <w:numId w:val="10"/>
        </w:numPr>
        <w:spacing w:before="120" w:after="120" w:line="288" w:lineRule="auto"/>
        <w:ind w:left="0"/>
        <w:jc w:val="left"/>
      </w:pPr>
      <w:r>
        <w:t>开放问题（主观分析类，LLM-as-a-Judge 自动评分）：</w:t>
      </w:r>
    </w:p>
    <w:p>
      <w:pPr>
        <w:numPr>
          <w:numId w:val="11"/>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：预定义参考框架（事实正确 + 逻辑严谨 + 无幻觉 + 建议可行），下面是预定义框架。</w:t>
      </w:r>
    </w:p>
    <w:p>
      <w:pPr>
        <w:spacing w:before="120" w:after="120" w:line="288" w:lineRule="auto"/>
        <w:ind w:left="453"/>
      </w:pPr>
      <w:r>
        <w:object>
          <v:shape id="_x0000_i1027" style="width:414pt;height:158pt;mso-width-percent:0;mso-height-percent:0;mso-width-percent:0;mso-height-percent:0" type="#_x0000_t75" o:ole="">
            <v:imagedata r:id="rId10" o:title=""/>
          </v:shape>
          <o:OLEObject DrawAspect="Icon" ObjectID="_1718471221" ProgID="Excel.Sheet.12" ShapeID="_x0000_i1027" Type="Embed" r:id="rId9"/>
        </w:object>
      </w:r>
    </w:p>
    <w:p>
      <w:pPr>
        <w:spacing w:after="120"/>
        <w:ind w:left="453"/>
        <w:jc w:val="center"/>
      </w:pPr>
      <w:r>
        <w:rPr>
          <w:rFonts w:eastAsia="等线" w:ascii="Arial" w:cs="Arial" w:hAnsi="Arial"/>
          <w:b w:val="true"/>
          <w:sz w:val="22"/>
        </w:rPr>
        <w:t>点击图片可查看完整电子表格</w:t>
      </w:r>
    </w:p>
    <w:p>
      <w:pPr>
        <w:numPr>
          <w:numId w:val="12"/>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13"/>
        </w:numPr>
        <w:spacing w:before="120" w:after="120" w:line="288" w:lineRule="auto"/>
        <w:ind w:left="907"/>
        <w:jc w:val="left"/>
      </w:pPr>
      <w:r>
        <w:t>大模型裁判核对事实：引用数据/项目/关系是否匹配输入数据（缺口18,641.94万元对不对？Top3负责人XXX等对不对？）。</w:t>
      </w:r>
    </w:p>
    <w:p>
      <w:pPr>
        <w:numPr>
          <w:numId w:val="14"/>
        </w:numPr>
        <w:spacing w:before="120" w:after="120" w:line="288" w:lineRule="auto"/>
        <w:ind w:left="907"/>
        <w:jc w:val="left"/>
      </w:pPr>
      <w:r>
        <w:t>大模型裁判验证逻辑：根因推理是否沿本体关系路径（ 高风险 → 进程低 → 缺口大）。</w:t>
      </w:r>
    </w:p>
    <w:p>
      <w:pPr>
        <w:numPr>
          <w:numId w:val="15"/>
        </w:numPr>
        <w:spacing w:before="120" w:after="120" w:line="288" w:lineRule="auto"/>
        <w:ind w:left="907"/>
        <w:jc w:val="left"/>
      </w:pPr>
      <w:r>
        <w:t>大模型裁判评估建议：是否具体/可行（有谁/做什么/预期）-- 暂定。</w:t>
      </w:r>
    </w:p>
    <w:p>
      <w:pPr>
        <w:numPr>
          <w:numId w:val="16"/>
        </w:numPr>
        <w:spacing w:before="120" w:after="120" w:line="288" w:lineRule="auto"/>
        <w:ind w:left="907"/>
        <w:jc w:val="left"/>
      </w:pPr>
      <w:r>
        <w:t>大模型裁判判定完整度：覆盖问题关键点（根因 + 数据 + 建议），下面是给分标准。</w:t>
      </w:r>
    </w:p>
    <w:p>
      <w:pPr>
        <w:spacing w:before="120" w:after="120" w:line="288" w:lineRule="auto"/>
        <w:ind w:left="907"/>
      </w:pPr>
      <w:r>
        <w:object>
          <v:shape id="_x0000_i1028" style="width:414pt;height:197pt;mso-width-percent:0;mso-height-percent:0;mso-width-percent:0;mso-height-percent:0" type="#_x0000_t75" o:ole="">
            <v:imagedata r:id="rId12" o:title=""/>
          </v:shape>
          <o:OLEObject DrawAspect="Icon" ObjectID="_1718471222" ProgID="Excel.Sheet.12" ShapeID="_x0000_i1028" Type="Embed" r:id="rId11"/>
        </w:object>
      </w:r>
    </w:p>
    <w:p>
      <w:pPr>
        <w:spacing w:after="120"/>
        <w:ind w:left="907"/>
        <w:jc w:val="center"/>
      </w:pPr>
      <w:r>
        <w:rPr>
          <w:rFonts w:eastAsia="等线" w:ascii="Arial" w:cs="Arial" w:hAnsi="Arial"/>
          <w:b w:val="true"/>
          <w:sz w:val="22"/>
        </w:rPr>
        <w:t>点击图片可查看完整电子表格</w:t>
      </w:r>
    </w:p>
    <w:p>
      <w:pPr>
        <w:numPr>
          <w:numId w:val="17"/>
        </w:numPr>
        <w:spacing w:before="120" w:after="120" w:line="288" w:lineRule="auto"/>
        <w:ind w:left="453"/>
        <w:jc w:val="left"/>
      </w:pPr>
      <w:r>
        <w:rPr>
          <w:rFonts w:eastAsia="等线" w:ascii="Arial" w:cs="Arial" w:hAnsi="Arial"/>
          <w:sz w:val="22"/>
        </w:rPr>
        <w:t>示例（深度分析 + 建议能力展示，汇报时直观）：</w:t>
      </w:r>
    </w:p>
    <w:p>
      <w:pPr>
        <w:spacing w:before="120" w:after="120" w:line="288" w:lineRule="auto"/>
        <w:ind w:left="0"/>
        <w:jc w:val="left"/>
      </w:pPr>
      <w:r>
        <w:t>深度分析 + 建议能力示例（典型开放问题回复，LLM裁判自动评估）：</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665"/>
        <w:gridCol w:w="3480"/>
        <w:gridCol w:w="1560"/>
        <w:gridCol w:w="1560"/>
      </w:tblGrid>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问题示例</w:t>
            </w: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智能体回复（示例）</w:t>
            </w:r>
          </w:p>
        </w:tc>
        <w:tc>
          <w:tcPr>
            <w:tcW w:w="1560" w:type="dxa"/>
            <w:tcMar>
              <w:top w:type="dxa" w:w="60"/>
              <w:left w:type="dxa" w:w="120"/>
              <w:bottom w:type="dxa" w:w="30"/>
              <w:right w:type="dxa" w:w="120"/>
            </w:tcMar>
          </w:tcPr>
          <w:p>
            <w:pPr>
              <w:spacing w:before="120" w:after="120" w:line="288" w:lineRule="auto"/>
              <w:ind w:left="0"/>
              <w:jc w:val="left"/>
            </w:pPr>
            <w:r>
              <w:t>准确性自动评估</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说明</w:t>
            </w: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深度分析</w:t>
            </w:r>
            <w:r>
              <w:rPr>
                <w:rFonts w:eastAsia="等线" w:ascii="Arial" w:cs="Arial" w:hAnsi="Arial"/>
                <w:sz w:val="22"/>
              </w:rPr>
              <w:t>：缺口18,641.94万元，主要因高进程占比低（&lt;50%） + 高风险项目多（时间/竞争风险为主）。根因：Top3高风险项目进程滞后（40%/80%/20%），赢单率低（40%/80%/19%）。</w:t>
            </w:r>
          </w:p>
          <w:p>
            <w:pPr>
              <w:spacing w:before="120" w:after="120" w:line="288" w:lineRule="auto"/>
              <w:ind w:left="0"/>
              <w:jc w:val="left"/>
            </w:pPr>
            <w:r>
              <w:rPr>
                <w:rFonts w:eastAsia="等线" w:ascii="Arial" w:cs="Arial" w:hAnsi="Arial"/>
                <w:b w:val="true"/>
                <w:sz w:val="22"/>
              </w:rPr>
              <w:t>数据支撑</w:t>
            </w:r>
            <w:r>
              <w:rPr>
                <w:rFonts w:eastAsia="等线" w:ascii="Arial" w:cs="Arial" w:hAnsi="Arial"/>
                <w:sz w:val="22"/>
              </w:rPr>
              <w:t>：高风险Top3预计毛利908/780/775万元，风险维度时间/竞争/技术/财务风险。</w:t>
            </w:r>
          </w:p>
          <w:p>
            <w:pPr>
              <w:spacing w:before="120" w:after="120" w:line="288" w:lineRule="auto"/>
              <w:ind w:left="0"/>
              <w:jc w:val="left"/>
            </w:pPr>
            <w:r>
              <w:rPr>
                <w:rFonts w:eastAsia="等线" w:ascii="Arial" w:cs="Arial" w:hAnsi="Arial"/>
                <w:b w:val="true"/>
                <w:sz w:val="22"/>
              </w:rPr>
              <w:t>建议行动</w:t>
            </w:r>
            <w:r>
              <w:rPr>
                <w:rFonts w:eastAsia="等线" w:ascii="Arial" w:cs="Arial" w:hAnsi="Arial"/>
                <w:sz w:val="22"/>
              </w:rPr>
              <w:t>：1. 优先联系U004刘洋/U002李明/U006杨帆推进进程（目标60%+）。2. 补高赢单率商机（&gt;65%），预计覆盖30%。3. 调整费用支持市场跟进。4. 下周复盘监控支撑度。</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准确</w:t>
            </w:r>
            <w:r>
              <w:rPr>
                <w:rFonts w:eastAsia="等线" w:ascii="Arial" w:cs="Arial" w:hAnsi="Arial"/>
                <w:sz w:val="22"/>
              </w:rPr>
              <w:t>（得分大于4.5）：事实准（数值）、逻辑严谨（路径对）、无幻觉、建议可行（具体行动）。</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t>触发人工复检底层数据路径。</w:t>
            </w:r>
          </w:p>
          <w:p>
            <w:pPr>
              <w:spacing w:before="120" w:after="120" w:line="288" w:lineRule="auto"/>
              <w:ind w:left="0"/>
              <w:jc w:val="left"/>
            </w:pP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缺口大主要是因为风险高，建议大家多努力补商机。</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不对</w:t>
            </w:r>
            <w:r>
              <w:rPr>
                <w:rFonts w:eastAsia="等线" w:ascii="Arial" w:cs="Arial" w:hAnsi="Arial"/>
                <w:sz w:val="22"/>
              </w:rPr>
              <w:t>（准确性&lt;60%）：事实浅（无数据）、逻辑乱、幻觉风险、建议空洞。</w:t>
            </w:r>
          </w:p>
        </w:tc>
        <w:tc>
          <w:tcPr>
            <w:tcW w:w="1560" w:type="dxa"/>
            <w:tcMar>
              <w:top w:type="dxa" w:w="60"/>
              <w:left w:type="dxa" w:w="120"/>
              <w:bottom w:type="dxa" w:w="30"/>
              <w:right w:type="dxa" w:w="120"/>
            </w:tcMar>
          </w:tcPr>
          <w:p>
            <w:pPr>
              <w:spacing w:before="120" w:after="120" w:line="288" w:lineRule="auto"/>
              <w:ind w:left="0"/>
              <w:jc w:val="left"/>
            </w:pPr>
            <w:r>
              <w:t>LLM 裁判判定为低分，触发人工复检缺陷明细。</w:t>
            </w:r>
          </w:p>
        </w:tc>
      </w:tr>
    </w:tbl>
    <w:p>
      <w:r>
        <w:rPr>
          <w:b/>
          <w:sz w:val="24"/>
        </w:rPr>
        <w:t>（新增）LLM-as-a-Judge 自动化打分法（推荐用于开放问题）</w:t>
      </w:r>
    </w:p>
    <w:p>
      <w:r>
        <w:t>鉴于大模型（智能体）的输出为自由文本，且通常不会严格按照设定的“三段式”固定格式输出。为保证评分的客观性、一致性与高效性，测试方案引入 LLM-as-a-Judge（用大模型当裁判）的自动化评分机制。</w:t>
      </w:r>
    </w:p>
    <w:p>
      <w:r>
        <w:rPr>
          <w:b/>
        </w:rPr>
        <w:t>核心评估理念：</w:t>
      </w:r>
    </w:p>
    <w:p>
      <w:r>
        <w:t>评分时忽略智能体回答的排版格式（如是否带小标题），纯看其生成的语义是否涵盖了基准答案中的三大核心考核点：</w:t>
        <w:br/>
        <w:t>• 事实与数据层：是否找对底层数据，有无幻觉。</w:t>
        <w:br/>
        <w:t>• 归纳与分析层：是否把数据转化为业务洞察。</w:t>
        <w:br/>
        <w:t>• 落地与建议层：是否给出可执行的管理建议。</w:t>
      </w:r>
    </w:p>
    <w:p>
      <w:r>
        <w:rPr>
          <w:b/>
        </w:rPr>
        <w:t>LLM 裁判指令 (Prompt) 模板：</w:t>
      </w:r>
    </w:p>
    <w:p>
      <w:r>
        <w:rPr>
          <w:rFonts w:ascii="Courier New" w:hAnsi="Courier New"/>
          <w:sz w:val="20"/>
        </w:rPr>
        <w:t>【系统设定】</w:t>
        <w:br/>
        <w:t>你是一个资深的企业经营分析总监，现在你需要给实习生（经分智能体）生成的业务分析报告打分。</w:t>
        <w:br/>
        <w:br/>
        <w:t>【输入信息】</w:t>
        <w:br/>
        <w:t>1. 用户提问：[测试用例中的开放问题]</w:t>
        <w:br/>
        <w:t>2. 参考基准答案：[测试方案中提供的带数据和建议的三段式标准答案]</w:t>
        <w:br/>
        <w:t>3. 智能体实际回答：[被测经分智能体生成的实际长文本]</w:t>
        <w:br/>
        <w:br/>
        <w:t>【打分规则（满分 5 分）】</w:t>
        <w:br/>
        <w:t>请忽略智能体回答的排版格式，纯看语义是否涵盖了基准答案的核心考点：</w:t>
        <w:br/>
        <w:t>- 准确性（2分）：实际回答中引用的业务数据、数值和客户名称，是否与基准答案一致，有无编造（幻觉）？</w:t>
        <w:br/>
        <w:t>- 洞察力（1.5分）：实际回答是否指出了基准答案中提到的业务痛点或现象根因？</w:t>
        <w:br/>
        <w:t>- 建议有效性（1.5分）：实际回答是否给出了与基准答案方向一致或同样具有业务指导意义的管理建议？</w:t>
        <w:br/>
        <w:br/>
        <w:t>【输出格式】</w:t>
        <w:br/>
        <w:t>1. 得分：[X / 5分]</w:t>
        <w:br/>
        <w:t>2. 扣分理由：（如果满分则填“涵盖全面，数据精准”）</w:t>
      </w:r>
    </w:p>
    <w:p>
      <w:r>
        <w:rPr>
          <w:b/>
        </w:rPr>
        <w:t>自动化测试实施路径：</w:t>
      </w:r>
    </w:p>
    <w:p>
      <w:r>
        <w:t>1. 通过 RPA 脚本或 API 批量拉取智能体对 80 道开放题的实际回答，并落盘至 result.xlsx 的“智能体回复”列。</w:t>
        <w:br/>
        <w:t>2. 编写评测脚本，循环读取“问题 + 标准答案 + 智能体回复”，将其拼接到上述 Prompt 模板中。</w:t>
        <w:br/>
        <w:t>3. 调用更高阶的大模型（如 GPT-4o 或 Claude 3.5 Sonnet）接口，让其以裁判身份输出分数与扣分理由。</w:t>
        <w:br/>
        <w:t>4. 汇总分数，计算整体平均分以及“准确性、洞察力、建议”等细分维度的达标率。</w:t>
      </w:r>
    </w:p>
    <w:p/>
    <w:p>
      <w:pPr>
        <w:pStyle w:val="4"/>
        <w:spacing w:before="260" w:after="120" w:line="288" w:lineRule="auto"/>
        <w:ind w:left="0"/>
        <w:jc w:val="left"/>
        <w:outlineLvl w:val="3"/>
      </w:pPr>
      <w:r>
        <w:t>四. 核心度量指标体系 (Core Evaluation Metrics)</w:t>
      </w:r>
    </w:p>
    <w:p>
      <w:r>
        <w:t>本方案摒弃了传统的单一黑盒打分，构建了涵盖“精确度、鲁棒性、可溯源性”的 3D 黄金度量矩阵，以确保智能体在真实高管应用场景下的极致可靠。</w:t>
      </w:r>
    </w:p>
    <w:p/>
    <w:p/>
    <w:tbl>
      <w:tblPr>
        <w:tblW w:type="auto" w:w="0"/>
        <w:tblLook w:firstColumn="1" w:firstRow="1" w:lastColumn="0" w:lastRow="0" w:noHBand="0" w:noVBand="1" w:val="04A0"/>
      </w:tblPr>
      <w:tblGrid>
        <w:gridCol w:w="1728"/>
        <w:gridCol w:w="1728"/>
        <w:gridCol w:w="1728"/>
        <w:gridCol w:w="1728"/>
        <w:gridCol w:w="1728"/>
      </w:tblGrid>
      <w:tr>
        <w:tc>
          <w:tcPr>
            <w:tcW w:type="dxa" w:w="1728"/>
          </w:tcPr>
          <w:p>
            <w:r>
              <w:t>核心度量维度</w:t>
            </w:r>
          </w:p>
        </w:tc>
        <w:tc>
          <w:tcPr>
            <w:tcW w:type="dxa" w:w="1728"/>
          </w:tcPr>
          <w:p>
            <w:r>
              <w:t>指标定义与评判逻辑</w:t>
            </w:r>
          </w:p>
        </w:tc>
        <w:tc>
          <w:tcPr>
            <w:tcW w:type="dxa" w:w="1728"/>
          </w:tcPr>
          <w:p>
            <w:r>
              <w:t>量化计算方式</w:t>
            </w:r>
          </w:p>
        </w:tc>
        <w:tc>
          <w:tcPr>
            <w:tcW w:type="dxa" w:w="1728"/>
          </w:tcPr>
          <w:p>
            <w:r>
              <w:t>企业级目标阈值</w:t>
            </w:r>
          </w:p>
        </w:tc>
        <w:tc>
          <w:tcPr>
            <w:tcW w:type="dxa" w:w="1728"/>
          </w:tcPr>
          <w:p>
            <w:r>
              <w:t>适用场景</w:t>
            </w:r>
          </w:p>
        </w:tc>
      </w:tr>
      <w:tr>
        <w:tc>
          <w:tcPr>
            <w:tcW w:type="dxa" w:w="1728"/>
          </w:tcPr>
          <w:p>
            <w:r>
              <w:t>多维准确性</w:t>
              <w:br/>
              <w:t>(Multidimensional Accuracy)</w:t>
            </w:r>
          </w:p>
        </w:tc>
        <w:tc>
          <w:tcPr>
            <w:tcW w:type="dxa" w:w="1728"/>
          </w:tcPr>
          <w:p>
            <w:r>
              <w:t>事实与逻辑双重校验。确保数据检索不漏、业务计算不错、逻辑推演不偏。</w:t>
            </w:r>
          </w:p>
        </w:tc>
        <w:tc>
          <w:tcPr>
            <w:tcW w:type="dxa" w:w="1728"/>
          </w:tcPr>
          <w:p>
            <w:r>
              <w:t>非开放题：自动化精准比对匹配度</w:t>
              <w:br/>
              <w:t>开放题：LLM 裁判 1-5 分量化矩阵 (事实/洞察/建议)</w:t>
            </w:r>
          </w:p>
        </w:tc>
        <w:tc>
          <w:tcPr>
            <w:tcW w:type="dxa" w:w="1728"/>
          </w:tcPr>
          <w:p>
            <w:r>
              <w:t>非开放题：100%</w:t>
              <w:br/>
              <w:t>开放题：平均分 ≥ 4.5</w:t>
            </w:r>
          </w:p>
        </w:tc>
        <w:tc>
          <w:tcPr>
            <w:tcW w:type="dxa" w:w="1728"/>
          </w:tcPr>
          <w:p>
            <w:r>
              <w:t>全量题库</w:t>
              <w:br/>
              <w:t>(非开放 + 开放)</w:t>
            </w:r>
          </w:p>
        </w:tc>
      </w:tr>
      <w:tr>
        <w:tc>
          <w:tcPr>
            <w:tcW w:type="dxa" w:w="1728"/>
          </w:tcPr>
          <w:p>
            <w:r>
              <w:t>一致性与鲁棒性</w:t>
              <w:br/>
              <w:t>(Consistency &amp; Robustness)</w:t>
            </w:r>
          </w:p>
        </w:tc>
        <w:tc>
          <w:tcPr>
            <w:tcW w:type="dxa" w:w="1728"/>
          </w:tcPr>
          <w:p>
            <w:r>
              <w:t>面对相同的高阶经营提问或存在微小扰动的 Prompt 时，系统能否提供绝对稳定的解答输出。</w:t>
            </w:r>
          </w:p>
        </w:tc>
        <w:tc>
          <w:tcPr>
            <w:tcW w:type="dxa" w:w="1728"/>
          </w:tcPr>
          <w:p>
            <w:r>
              <w:t>高并发压力测试下，对同一问题抽样 20 次并计算输出结果的零差异比率。</w:t>
            </w:r>
          </w:p>
        </w:tc>
        <w:tc>
          <w:tcPr>
            <w:tcW w:type="dxa" w:w="1728"/>
          </w:tcPr>
          <w:p>
            <w:r>
              <w:t>100% 零差异率</w:t>
            </w:r>
          </w:p>
        </w:tc>
        <w:tc>
          <w:tcPr>
            <w:tcW w:type="dxa" w:w="1728"/>
          </w:tcPr>
          <w:p>
            <w:r>
              <w:t>重点针对大额合同与高危商机类的严谨查询</w:t>
            </w:r>
          </w:p>
        </w:tc>
      </w:tr>
      <w:tr>
        <w:tc>
          <w:tcPr>
            <w:tcW w:type="dxa" w:w="1728"/>
          </w:tcPr>
          <w:p>
            <w:r>
              <w:t>零幻觉溯源率</w:t>
              <w:br/>
              <w:t>(Zero-Hallucination)</w:t>
            </w:r>
          </w:p>
        </w:tc>
        <w:tc>
          <w:tcPr>
            <w:tcW w:type="dxa" w:w="1728"/>
          </w:tcPr>
          <w:p>
            <w:r>
              <w:t>输出文本中引用的任意具体数值、阶段名称或最终用户实体，必须 100% 拥有底层测试数据集的引用依据凭证。严防模型脑补。</w:t>
            </w:r>
          </w:p>
        </w:tc>
        <w:tc>
          <w:tcPr>
            <w:tcW w:type="dxa" w:w="1728"/>
          </w:tcPr>
          <w:p>
            <w:r>
              <w:t>实体链接穿透率计算：由 LLM 裁判提取数值/实体，并交由脚本与源库比对，计算捏造实体个数。</w:t>
            </w:r>
          </w:p>
        </w:tc>
        <w:tc>
          <w:tcPr>
            <w:tcW w:type="dxa" w:w="1728"/>
          </w:tcPr>
          <w:p>
            <w:r>
              <w:t>绝对 0 幻觉</w:t>
              <w:br/>
              <w:t>(容忍度 0%)</w:t>
            </w:r>
          </w:p>
        </w:tc>
        <w:tc>
          <w:tcPr>
            <w:tcW w:type="dxa" w:w="1728"/>
          </w:tcPr>
          <w:p>
            <w:r>
              <w:t>全量开放问题深度分析段落</w:t>
            </w:r>
          </w:p>
        </w:tc>
      </w:tr>
    </w:tbl>
    <w:p/>
    <w:p>
      <w:pPr/>
      <w:r>
        <w:t>五. 自动化与智能化测试执行流程</w:t>
      </w:r>
    </w:p>
    <w:p>
      <w:r>
        <w:t>1. 题库构建与基准锁定 (Test Case Engineering)：基于真实的「商机表」与「合同表」等底层核心数据，构建 80 道高拟真度经营分析问题（50 道高阶逻辑非开放题 + 30 道老板视角灵魂拷问开放题）。通过 Python 脚本计算并绝对锁定各题的 Ground Truth 及「三段式」评估基准，确保后续裁判标准的零误差与客观性。</w:t>
      </w:r>
    </w:p>
    <w:p>
      <w:r>
        <w:t>2. RPA 无人值守执行 (Robotic Process Automation)：引入 Playwright 自动化引擎，挂载 RPA 脚本对智能体交互界面进行无人值守跑批提问。脚本将自动注入测试数据、监听动态流式输出、提取完整回答文本，并将结果秒级落盘至数据表（result.xlsx），彻底消除人工操作带来的低效与人为干扰。</w:t>
      </w:r>
    </w:p>
    <w:p>
      <w:r>
        <w:t>3. 双轨智能交叉验证 (Dual-Track Validation)：</w:t>
        <w:br/>
        <w:t xml:space="preserve">   • 非开放题（硬性校验）：通过正则提取与实体识别脚本，将智能体回复的数值、列表与 Ground Truth 进行毫秒级精准比对。</w:t>
        <w:br/>
        <w:t xml:space="preserve">   • 开放题（LLM-as-a-Judge）：将智能体输出的非结构化长文本喂入高阶裁判大模型，严格按照「事实准确度、业务洞察力、建议可行性」三维评分矩阵进行语义解析与量化打分。仅对裁判给出的异常低分或涉嫌“严重幻觉”的案例触发人工复检（Human-in-the-loop），实现极高水准的评测自动化率。</w:t>
      </w:r>
    </w:p>
    <w:p>
      <w:r>
        <w:t>4. 缺陷洞察与高维报告产出 (Metrics &amp; Insights Reporting)：聚合准确性、一致性与无幻觉性三大核心指标，自动生成可视化评测矩阵。拒绝只交出冰冷的测试分数，着重提炼智能体在“意图理解偏差、底层数据检索遗漏、深层逻辑推理断层”等维度的典型 Bad Case，用以反向倒逼经分智能体底层 RAG 链路与架构的精准迭代。</w:t>
      </w:r>
    </w:p>
    <w:sectPr>
      <w:footerReference w:type="default" r:id="rId3"/>
      <w:headerReference w:type="default" r:id="rId13"/>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68235">
    <w:lvl>
      <w:numFmt w:val="bullet"/>
      <w:suff w:val="tab"/>
      <w:lvlText w:val="•"/>
      <w:rPr>
        <w:color w:val="3370ff"/>
      </w:rPr>
    </w:lvl>
  </w:abstractNum>
  <w:abstractNum w:abstractNumId="68236">
    <w:lvl>
      <w:numFmt w:val="bullet"/>
      <w:suff w:val="tab"/>
      <w:lvlText w:val="•"/>
      <w:rPr>
        <w:color w:val="3370ff"/>
      </w:rPr>
    </w:lvl>
  </w:abstractNum>
  <w:abstractNum w:abstractNumId="68237">
    <w:lvl>
      <w:numFmt w:val="bullet"/>
      <w:suff w:val="tab"/>
      <w:lvlText w:val="•"/>
      <w:rPr>
        <w:color w:val="3370ff"/>
      </w:rPr>
    </w:lvl>
  </w:abstractNum>
  <w:abstractNum w:abstractNumId="68238">
    <w:lvl>
      <w:numFmt w:val="bullet"/>
      <w:suff w:val="tab"/>
      <w:lvlText w:val="•"/>
      <w:rPr>
        <w:color w:val="3370ff"/>
      </w:rPr>
    </w:lvl>
  </w:abstractNum>
  <w:abstractNum w:abstractNumId="68239">
    <w:lvl>
      <w:numFmt w:val="bullet"/>
      <w:suff w:val="tab"/>
      <w:lvlText w:val="•"/>
      <w:rPr>
        <w:color w:val="3370ff"/>
      </w:rPr>
    </w:lvl>
  </w:abstractNum>
  <w:abstractNum w:abstractNumId="68240">
    <w:lvl>
      <w:numFmt w:val="bullet"/>
      <w:suff w:val="tab"/>
      <w:lvlText w:val="•"/>
      <w:rPr>
        <w:color w:val="3370ff"/>
      </w:rPr>
    </w:lvl>
  </w:abstractNum>
  <w:abstractNum w:abstractNumId="68241">
    <w:lvl>
      <w:numFmt w:val="bullet"/>
      <w:suff w:val="tab"/>
      <w:lvlText w:val="￮"/>
      <w:rPr>
        <w:color w:val="3370ff"/>
      </w:rPr>
    </w:lvl>
  </w:abstractNum>
  <w:abstractNum w:abstractNumId="68242">
    <w:lvl>
      <w:numFmt w:val="bullet"/>
      <w:suff w:val="tab"/>
      <w:lvlText w:val="￮"/>
      <w:rPr>
        <w:color w:val="3370ff"/>
      </w:rPr>
    </w:lvl>
  </w:abstractNum>
  <w:abstractNum w:abstractNumId="68243">
    <w:lvl>
      <w:numFmt w:val="bullet"/>
      <w:suff w:val="tab"/>
      <w:lvlText w:val="▪"/>
      <w:rPr>
        <w:color w:val="3370ff"/>
        <w:sz w:val="11"/>
      </w:rPr>
    </w:lvl>
  </w:abstractNum>
  <w:abstractNum w:abstractNumId="68244">
    <w:lvl>
      <w:numFmt w:val="bullet"/>
      <w:suff w:val="tab"/>
      <w:lvlText w:val="•"/>
      <w:rPr>
        <w:color w:val="3370ff"/>
      </w:rPr>
    </w:lvl>
  </w:abstractNum>
  <w:abstractNum w:abstractNumId="68245">
    <w:lvl>
      <w:numFmt w:val="bullet"/>
      <w:suff w:val="tab"/>
      <w:lvlText w:val="￮"/>
      <w:rPr>
        <w:color w:val="3370ff"/>
      </w:rPr>
    </w:lvl>
  </w:abstractNum>
  <w:abstractNum w:abstractNumId="68246">
    <w:lvl>
      <w:numFmt w:val="bullet"/>
      <w:suff w:val="tab"/>
      <w:lvlText w:val="￮"/>
      <w:rPr>
        <w:color w:val="3370ff"/>
      </w:rPr>
    </w:lvl>
  </w:abstractNum>
  <w:abstractNum w:abstractNumId="68247">
    <w:lvl>
      <w:numFmt w:val="bullet"/>
      <w:suff w:val="tab"/>
      <w:lvlText w:val="▪"/>
      <w:rPr>
        <w:color w:val="3370ff"/>
        <w:sz w:val="11"/>
      </w:rPr>
    </w:lvl>
  </w:abstractNum>
  <w:abstractNum w:abstractNumId="68248">
    <w:lvl>
      <w:numFmt w:val="bullet"/>
      <w:suff w:val="tab"/>
      <w:lvlText w:val="▪"/>
      <w:rPr>
        <w:color w:val="3370ff"/>
        <w:sz w:val="11"/>
      </w:rPr>
    </w:lvl>
  </w:abstractNum>
  <w:abstractNum w:abstractNumId="68249">
    <w:lvl>
      <w:numFmt w:val="bullet"/>
      <w:suff w:val="tab"/>
      <w:lvlText w:val="▪"/>
      <w:rPr>
        <w:color w:val="3370ff"/>
        <w:sz w:val="11"/>
      </w:rPr>
    </w:lvl>
  </w:abstractNum>
  <w:abstractNum w:abstractNumId="68250">
    <w:lvl>
      <w:numFmt w:val="bullet"/>
      <w:suff w:val="tab"/>
      <w:lvlText w:val="▪"/>
      <w:rPr>
        <w:color w:val="3370ff"/>
        <w:sz w:val="11"/>
      </w:rPr>
    </w:lvl>
  </w:abstractNum>
  <w:abstractNum w:abstractNumId="68251">
    <w:lvl>
      <w:numFmt w:val="bullet"/>
      <w:suff w:val="tab"/>
      <w:lvlText w:val="￮"/>
      <w:rPr>
        <w:color w:val="3370ff"/>
      </w:rPr>
    </w:lvl>
  </w:abstractNum>
  <w:abstractNum w:abstractNumId="68252">
    <w:lvl>
      <w:numFmt w:val="bullet"/>
      <w:suff w:val="tab"/>
      <w:lvlText w:val="•"/>
      <w:rPr>
        <w:color w:val="3370ff"/>
      </w:rPr>
    </w:lvl>
  </w:abstractNum>
  <w:abstractNum w:abstractNumId="68253">
    <w:lvl>
      <w:numFmt w:val="bullet"/>
      <w:suff w:val="tab"/>
      <w:lvlText w:val="•"/>
      <w:rPr>
        <w:color w:val="3370ff"/>
      </w:rPr>
    </w:lvl>
  </w:abstractNum>
  <w:abstractNum w:abstractNumId="68254">
    <w:lvl>
      <w:numFmt w:val="bullet"/>
      <w:suff w:val="tab"/>
      <w:lvlText w:val="•"/>
      <w:rPr>
        <w:color w:val="3370ff"/>
      </w:rPr>
    </w:lvl>
  </w:abstractNum>
  <w:abstractNum w:abstractNumId="68255">
    <w:lvl>
      <w:numFmt w:val="bullet"/>
      <w:suff w:val="tab"/>
      <w:lvlText w:val="•"/>
      <w:rPr>
        <w:color w:val="3370ff"/>
      </w:rPr>
    </w:lvl>
  </w:abstractNum>
  <w:abstractNum w:abstractNumId="68256">
    <w:lvl>
      <w:numFmt w:val="bullet"/>
      <w:suff w:val="tab"/>
      <w:lvlText w:val="•"/>
      <w:rPr>
        <w:color w:val="3370ff"/>
      </w:rPr>
    </w:lvl>
  </w:abstractNum>
  <w:num w:numId="1">
    <w:abstractNumId w:val="68235"/>
  </w:num>
  <w:num w:numId="2">
    <w:abstractNumId w:val="68236"/>
  </w:num>
  <w:num w:numId="3">
    <w:abstractNumId w:val="68237"/>
  </w:num>
  <w:num w:numId="4">
    <w:abstractNumId w:val="68238"/>
  </w:num>
  <w:num w:numId="5">
    <w:abstractNumId w:val="68239"/>
  </w:num>
  <w:num w:numId="6">
    <w:abstractNumId w:val="68240"/>
  </w:num>
  <w:num w:numId="7">
    <w:abstractNumId w:val="68241"/>
  </w:num>
  <w:num w:numId="8">
    <w:abstractNumId w:val="68242"/>
  </w:num>
  <w:num w:numId="9">
    <w:abstractNumId w:val="68243"/>
  </w:num>
  <w:num w:numId="10">
    <w:abstractNumId w:val="68244"/>
  </w:num>
  <w:num w:numId="11">
    <w:abstractNumId w:val="68245"/>
  </w:num>
  <w:num w:numId="12">
    <w:abstractNumId w:val="68246"/>
  </w:num>
  <w:num w:numId="13">
    <w:abstractNumId w:val="68247"/>
  </w:num>
  <w:num w:numId="14">
    <w:abstractNumId w:val="68248"/>
  </w:num>
  <w:num w:numId="15">
    <w:abstractNumId w:val="68249"/>
  </w:num>
  <w:num w:numId="16">
    <w:abstractNumId w:val="68250"/>
  </w:num>
  <w:num w:numId="17">
    <w:abstractNumId w:val="68251"/>
  </w:num>
  <w:num w:numId="18">
    <w:abstractNumId w:val="68252"/>
  </w:num>
  <w:num w:numId="19">
    <w:abstractNumId w:val="68253"/>
  </w:num>
  <w:num w:numId="20">
    <w:abstractNumId w:val="68254"/>
  </w:num>
  <w:num w:numId="21">
    <w:abstractNumId w:val="68255"/>
  </w:num>
  <w:num w:numId="22">
    <w:abstractNumId w:val="68256"/>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3.png"/><Relationship Id="rId11" Type="http://schemas.openxmlformats.org/officeDocument/2006/relationships/package" Target="embeddings/Microsoft_Excel_Worksheet4.xlsx"/><Relationship Id="rId12" Type="http://schemas.openxmlformats.org/officeDocument/2006/relationships/image" Target="media/image4.png"/><Relationship Id="rId13" Type="http://schemas.openxmlformats.org/officeDocument/2006/relationships/header" Target="header1.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package" Target="embeddings/Microsoft_Excel_Worksheet1.xlsx"/><Relationship Id="rId6" Type="http://schemas.openxmlformats.org/officeDocument/2006/relationships/image" Target="media/image1.png"/><Relationship Id="rId7" Type="http://schemas.openxmlformats.org/officeDocument/2006/relationships/package" Target="embeddings/Microsoft_Excel_Worksheet2.xlsx"/><Relationship Id="rId8" Type="http://schemas.openxmlformats.org/officeDocument/2006/relationships/image" Target="media/image2.png"/><Relationship Id="rId9" Type="http://schemas.openxmlformats.org/officeDocument/2006/relationships/package" Target="embeddings/Microsoft_Excel_Worksheet3.xlsx"/></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2026-02-10T08:46:22Z</dcterms:created>
  <dc:creator>Apache POI</dc:creator>
</cp:coreProperties>
</file>

<file path=docProps/custom.xml><?xml version="1.0" encoding="utf-8"?>
<Properties xmlns:vt="http://schemas.openxmlformats.org/officeDocument/2006/docPropsVTypes" xmlns="http://schemas.openxmlformats.org/officeDocument/2006/custom-properties">
  <property name="CWM400e4c00065d11f1800015dc000015dc" pid="2" fmtid="{D5CDD505-2E9C-101B-9397-08002B2CF9AE}">
    <vt:lpwstr>CWMuxoujvrpWmJiicDqUoPHWQam0QRZetTzhwDCdMRPV/wmpK6sF7nHRq7g3fq0VFGnfC3WP2QoO0ZEd0qTROl4Qw==</vt:lpwstr>
  </property>
</Properties>
</file>