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555555"/>
          <w:sz w:val="26"/>
          <w:szCs w:val="26"/>
        </w:rPr>
        <w:t xml:space="preserve">PROJEKT SYSTEMU INFORMATYCZNEGO</w:t>
      </w:r>
    </w:p>
    <w:p>
      <w:pPr>
        <w:spacing w:after="200" w:before="300"/>
        <w:jc w:val="center"/>
      </w:pPr>
      <w:r>
        <w:rPr>
          <w:b/>
          <w:bCs/>
          <w:color w:val="2F5597"/>
          <w:sz w:val="48"/>
          <w:szCs w:val="48"/>
        </w:rPr>
        <w:t xml:space="preserve">System Oceny Ryzyka Kredytowego (SORK)</w:t>
      </w:r>
    </w:p>
    <w:p>
      <w:pPr>
        <w:spacing w:after="600"/>
        <w:jc w:val="center"/>
      </w:pPr>
      <w:r>
        <w:rPr>
          <w:i/>
          <w:iCs/>
          <w:sz w:val="26"/>
          <w:szCs w:val="26"/>
        </w:rPr>
        <w:t xml:space="preserve">aplikacja szacująca ryzyko niespłacenia kredytu na podstawie danych o wnioskodawcy</w:t>
      </w:r>
    </w:p>
    <w:p>
      <w:pPr>
        <w:jc w:val="center"/>
      </w:pPr>
      <w:r>
        <w:rPr>
          <w:sz w:val="24"/>
          <w:szCs w:val="24"/>
        </w:rPr>
        <w:t xml:space="preserve">Przyszły użytkownik: Bank Spółdzielczy w Nowym Mieście (podmiot fikcyjny)</w:t>
      </w:r>
    </w:p>
    <w:p>
      <w:pPr>
        <w:spacing w:before="1600"/>
        <w:jc w:val="center"/>
      </w:pPr>
      <w:r>
        <w:rPr>
          <w:sz w:val="22"/>
          <w:szCs w:val="22"/>
        </w:rPr>
        <w:t xml:space="preserve">Część projektowa przedmiotu</w:t>
      </w:r>
    </w:p>
    <w:p>
      <w:pPr>
        <w:jc w:val="center"/>
      </w:pPr>
      <w:r>
        <w:rPr>
          <w:sz w:val="22"/>
          <w:szCs w:val="22"/>
        </w:rPr>
        <w:t xml:space="preserve">Autor: Mateusz ……………………   ·   nr albumu: ……………</w:t>
      </w:r>
    </w:p>
    <w:p>
      <w:pPr>
        <w:jc w:val="center"/>
      </w:pPr>
      <w:r>
        <w:rPr>
          <w:sz w:val="22"/>
          <w:szCs w:val="22"/>
        </w:rPr>
        <w:t xml:space="preserve">Październik 2026</w:t>
      </w:r>
    </w:p>
    <w:p>
      <w:r>
        <w:br w:type="page"/>
      </w:r>
    </w:p>
    <w:p>
      <w:pPr>
        <w:spacing w:after="200"/>
      </w:pPr>
      <w:r>
        <w:rPr>
          <w:b/>
          <w:bCs/>
          <w:color w:val="2F5597"/>
          <w:sz w:val="32"/>
          <w:szCs w:val="32"/>
        </w:rPr>
        <w:t xml:space="preserve">Spis treści</w:t>
      </w:r>
    </w:p>
    <w:sdt>
      <w:sdtPr>
        <w:alias w:val="Spis treśc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Wprowadzenie</w:t>
      </w:r>
    </w:p>
    <w:p>
      <w:pPr>
        <w:spacing w:after="120" w:line="276"/>
        <w:jc w:val="both"/>
      </w:pPr>
      <w:r>
        <w:t xml:space="preserve">Dokument opisuje projekt </w:t>
      </w:r>
      <w:r>
        <w:rPr>
          <w:b/>
          <w:bCs/>
        </w:rPr>
        <w:t xml:space="preserve">Systemu Oceny Ryzyka Kredytowego (SORK)</w:t>
      </w:r>
      <w:r>
        <w:t xml:space="preserve"> – aplikacji wspierającej bank w ocenie wniosków o kredyt konsumpcyjny. System rejestruje wnioski, szacuje prawdopodobieństwo niewypłacalności klienta (PD – </w:t>
      </w:r>
      <w:r>
        <w:rPr>
          <w:i/>
          <w:iCs/>
        </w:rPr>
        <w:t xml:space="preserve">probability of default</w:t>
      </w:r>
      <w:r>
        <w:t xml:space="preserve">) przy pomocy modelu uczenia maszynowego, wyjaśnia, które czynniki wpłynęły na wynik, oraz prowadzi wniosek przez ścieżkę decyzyjną z udziałem doradcy, analityka ryzyka i kierownika.</w:t>
      </w:r>
    </w:p>
    <w:p>
      <w:pPr>
        <w:spacing w:after="120" w:line="276"/>
        <w:jc w:val="both"/>
      </w:pPr>
      <w:r>
        <w:t xml:space="preserve">Struktura dokumentu odpowiada wymaganiom zaliczenia części projektowej: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rozdz. 1 – opis przyszłego użytkownika, jego działalności i schemat organizacyjny,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rozdz. 2 – problem do rozwiązania i kontekst systemu (zakres, cel, procesy, dokumenty wynikowe),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rozdz. 3 – charakterystyka użytkowników, ich role i uprawnienia,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rozdz. 4 – założenia i zależności systemu (obiekty zewnętrzne),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rozdz. 5 – wymagania funkcjonalne,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rozdz. 6 – wymagania niefunkcjonalne,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rozdz. 7 – projekt koncepcyjny (logika wewnętrzna, przepływy informacji, model danych, model scoringowy),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rozdz. 8 – działająca aplikacja (prototyp) i instrukcja uruchomienia.</w:t>
      </w:r>
    </w:p>
    <w:p>
      <w:pPr>
        <w:pStyle w:val="Heading1"/>
        <w:pageBreakBefore/>
      </w:pPr>
      <w:r>
        <w:t xml:space="preserve">1. Opis przyszłego użytkownika</w:t>
      </w:r>
    </w:p>
    <w:p>
      <w:pPr>
        <w:pStyle w:val="Heading2"/>
      </w:pPr>
      <w:r>
        <w:t xml:space="preserve">1.1. Profil organizacji</w:t>
      </w:r>
    </w:p>
    <w:p>
      <w:pPr>
        <w:spacing w:after="120" w:line="276"/>
        <w:jc w:val="both"/>
      </w:pPr>
      <w:r>
        <w:rPr>
          <w:b/>
          <w:bCs/>
        </w:rPr>
        <w:t xml:space="preserve">Bank Spółdzielczy w Nowym Mieście</w:t>
      </w:r>
      <w:r>
        <w:t xml:space="preserve"> (dalej: Bank) jest lokalnym bankiem spółdzielczym działającym od ponad 90 lat na terenie powiatu nowomiejskiego i powiatów sąsiednich. Bank jest uczestnikiem systemu ochrony instytucjonalnej zrzeszenia banków spółdzielczych i podlega nadzorowi Komisji Nadzoru Finansowego (KNF). Organizacja jest fikcyjna – została przyjęta na potrzeby projektu, a jej parametry odpowiadają typowemu bankowi spółdzielczemu średniej wielkości.</w:t>
      </w:r>
    </w:p>
    <w:p>
      <w:pPr>
        <w:keepNext/>
        <w:spacing w:after="60" w:before="160"/>
      </w:pPr>
      <w:r>
        <w:rPr>
          <w:i/>
          <w:iCs/>
          <w:color w:val="555555"/>
          <w:sz w:val="18"/>
          <w:szCs w:val="18"/>
        </w:rPr>
        <w:t xml:space="preserve">Tabela 1. Podstawowe dane Banku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tblHeader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Parametr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Wartość (stan na 2026 r.)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Forma prawna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Bank spółdzielczy (spółdzielnia), ok. 4 800 członków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Sieć placówek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Centrala, 6 oddziałów, 4 filie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Zatrudnienie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ok. 140 pracowników, w tym 32 doradców klienta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Suma bilansowa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ok. 1,4 mld zł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Liczba klientów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ok. 38 tys. klientów indywidualnych, 3,5 tys. firm i gospodarstw rolnych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Wnioski o kredyt konsumpcyjny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ok. 6 000 rocznie (ok. 25 dziennie), udzielane ok. 4 200 umów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Systemy IT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system core-banking zrzeszenia, bankowość internetowa, hurtownia danych, MS Office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1.2. Działalność</w:t>
      </w:r>
    </w:p>
    <w:p>
      <w:pPr>
        <w:spacing w:after="120" w:line="276"/>
        <w:jc w:val="both"/>
      </w:pPr>
      <w:r>
        <w:t xml:space="preserve">Bank prowadzi działalność depozytowo-kredytową na rzecz klientów indywidualnych, rolników oraz mikro- i małych przedsiębiorstw. Główne obszary działalności: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kredyty konsumpcyjne</w:t>
      </w:r>
      <w:r>
        <w:t xml:space="preserve"> (gotówkowe, na cele osobiste, edukacyjne, medyczne, remontowe, konsolidacyjne) – obszar, którego dotyczy projekt,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kredyty hipoteczne oraz kredyty dla rolników i przedsiębiorców,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prowadzenie rachunków, lokaty, karty płatnicze, rozliczenia krajowe i zagraniczne,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bankowość internetowa i mobilna, obsługa programów pomocowych i dotacji.</w:t>
      </w:r>
    </w:p>
    <w:p>
      <w:pPr>
        <w:spacing w:after="120" w:line="276"/>
        <w:jc w:val="both"/>
      </w:pPr>
      <w:r>
        <w:t xml:space="preserve">Przetwarzanie danych finansowych w procesie kredytowym obejmuje m.in. dane o dochodach i zatrudnieniu wnioskodawcy, jego zobowiązaniach i historii kredytowej (z Biura Informacji Kredytowej), parametry wnioskowanego kredytu, wynik oceny zdolności kredytowej i ryzyka oraz decyzję kredytową. Bank ma obowiązek zbadać zdolność kredytową klienta (art. 70 ustawy Prawo bankowe, art. 9 ustawy o kredycie konsumenckim), a na wniosek klienta – przedstawić wyjaśnienie czynników, które wpłynęły na ocenę (art. 70a Prawa bankowego).</w:t>
      </w:r>
    </w:p>
    <w:p>
      <w:pPr>
        <w:pStyle w:val="Heading2"/>
      </w:pPr>
      <w:r>
        <w:t xml:space="preserve">1.3. Schemat organizacyjny</w:t>
      </w:r>
    </w:p>
    <w:p>
      <w:pPr>
        <w:spacing w:after="120" w:line="276"/>
        <w:jc w:val="both"/>
      </w:pPr>
      <w:r>
        <w:t xml:space="preserve">Na schemacie wyróżniono (kolor pomarańczowy) komórki organizacyjne, których pracownicy będą bezpośrednimi użytkownikami systemu SORK.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4552950"/>
            <wp:effectExtent t="0" r="0" b="0" l="0"/>
            <wp:docPr id="1" name="org.png" descr="Schemat organizacyjny Banku Spółdzielczego w Nowym Mieście" title="Schemat organizacyjny Banku Spółdzielczego w Nowym Mieśc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Rys. 1. Schemat organizacyjny Banku Spółdzielczego w Nowym Mieście</w:t>
      </w:r>
    </w:p>
    <w:p>
      <w:pPr>
        <w:keepNext/>
        <w:spacing w:after="60" w:before="160"/>
      </w:pPr>
      <w:r>
        <w:rPr>
          <w:i/>
          <w:iCs/>
          <w:color w:val="555555"/>
          <w:sz w:val="18"/>
          <w:szCs w:val="18"/>
        </w:rPr>
        <w:t xml:space="preserve">Tabela 2. Komórki organizacyjne związane z systemem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6"/>
        <w:gridCol w:w="4926"/>
        <w:gridCol w:w="2356"/>
      </w:tblGrid>
      <w:tr>
        <w:trPr>
          <w:tblHeader/>
        </w:trPr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Komórka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Zadania związane z procesem kredytowym</w:t>
            </w:r>
          </w:p>
        </w:tc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Rola w SORK</w:t>
            </w:r>
          </w:p>
        </w:tc>
      </w:tr>
      <w:tr>
        <w:trPr>
          <w:cantSplit/>
        </w:trPr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Oddziały i filie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Przyjmowanie wniosków, kontakt z klientem, kompletowanie dokumentów, przekazanie decyzji</w:t>
            </w:r>
          </w:p>
        </w:tc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Doradca kredytowy</w:t>
            </w:r>
          </w:p>
        </w:tc>
      </w:tr>
      <w:tr>
        <w:trPr>
          <w:cantSplit/>
        </w:trPr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Dział Analiz i Ryzyka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Ocena ryzyka, weryfikacja wniosków, rekomendacje, monitorowanie jakości modeli</w:t>
            </w:r>
          </w:p>
        </w:tc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Analityk ryzyka</w:t>
            </w:r>
          </w:p>
        </w:tc>
      </w:tr>
      <w:tr>
        <w:trPr>
          <w:cantSplit/>
        </w:trPr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Dział Kredytów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Decyzje kredytowe w ramach kompetencji, polityka kredytowa, raportowanie portfela</w:t>
            </w:r>
          </w:p>
        </w:tc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Kierownik Działu Kredytów</w:t>
            </w:r>
          </w:p>
        </w:tc>
      </w:tr>
      <w:tr>
        <w:trPr>
          <w:cantSplit/>
        </w:trPr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Dział Informatyki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Utrzymanie systemu, konta użytkowników, wdrażanie nowych wersji modelu</w:t>
            </w:r>
          </w:p>
        </w:tc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Administrator</w:t>
            </w:r>
          </w:p>
        </w:tc>
      </w:tr>
      <w:tr>
        <w:trPr>
          <w:cantSplit/>
        </w:trPr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Compliance, IOD, Audyt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Kontrola zgodności z RODO, rekomendacjami KNF i AI Act; przegląd dziennika zdarzeń</w:t>
            </w:r>
          </w:p>
        </w:tc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Odbiorcy raportów (dostęp przez kierownika/administratora)</w:t>
            </w:r>
          </w:p>
        </w:tc>
      </w:tr>
      <w:tr>
        <w:trPr>
          <w:cantSplit/>
        </w:trPr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Dział Windykacji i Monitoringu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Dostarcza informacji o faktycznej spłacalności – dane do ponownego trenowania modelu</w:t>
            </w:r>
          </w:p>
        </w:tc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Pośrednio (dane historyczne)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2. Problem do rozwiązania i kontekst systemu</w:t>
      </w:r>
    </w:p>
    <w:p>
      <w:pPr>
        <w:pStyle w:val="Heading2"/>
      </w:pPr>
      <w:r>
        <w:t xml:space="preserve">2.1. Opis problemu (stan obecny)</w:t>
      </w:r>
    </w:p>
    <w:p>
      <w:pPr>
        <w:spacing w:after="120" w:line="276"/>
        <w:jc w:val="both"/>
      </w:pPr>
      <w:r>
        <w:t xml:space="preserve">Obecnie ocena wniosków o kredyt konsumpcyjny odbywa się w oparciu o punktową kartę scoringową w arkuszu kalkulacyjnym, opracowaną kilkanaście lat temu, oraz o doświadczenie doradcy i analityka. Taki sposób pracy powoduje następujące problemy: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Niespójność ocen</w:t>
      </w:r>
      <w:r>
        <w:t xml:space="preserve"> – podobne wnioski są różnie oceniane w różnych oddziałach; brak jednolitego, obiektywnego miernika ryzyka.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Niska trafność</w:t>
      </w:r>
      <w:r>
        <w:t xml:space="preserve"> – stara karta scoringowa nie była rekalibrowana, nie uwzględnia nieliniowych zależności (np. relacji kwoty kredytu do dochodu w połączeniu ze statusem mieszkaniowym); rośnie udział kredytów niespłacanych.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Długi czas obsługi</w:t>
      </w:r>
      <w:r>
        <w:t xml:space="preserve"> – wniosek przechodzi między oddziałem a centralą e-mailem; decyzja zajmuje średnio 2–3 dni robocze.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Brak uzasadnień</w:t>
      </w:r>
      <w:r>
        <w:t xml:space="preserve"> – trudno wskazać klientowi (art. 70a Prawa bankowego) i audytorowi, dlaczego wniosek oceniono negatywnie.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Brak rejestru i ścieżki audytu</w:t>
      </w:r>
      <w:r>
        <w:t xml:space="preserve"> – dane o wnioskach są rozproszone w plikach, nie wiadomo kto i kiedy podjął decyzję.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Brak danych do raportowania</w:t>
      </w:r>
      <w:r>
        <w:t xml:space="preserve"> – kierownictwo nie ma bieżącego obrazu jakości napływających wniosków i struktury ryzyka.</w:t>
      </w:r>
    </w:p>
    <w:p>
      <w:pPr>
        <w:pStyle w:val="Heading2"/>
      </w:pPr>
      <w:r>
        <w:t xml:space="preserve">2.2. Cel systemu</w:t>
      </w:r>
    </w:p>
    <w:p>
      <w:pPr>
        <w:spacing w:after="120" w:line="276"/>
        <w:jc w:val="both"/>
      </w:pPr>
      <w:r>
        <w:rPr>
          <w:b/>
          <w:bCs/>
        </w:rPr>
        <w:t xml:space="preserve">Celem systemu SORK jest wsparcie decyzji kredytowych poprzez obiektywne, wyjaśnialne oszacowanie ryzyka niespłacenia kredytu oraz uporządkowanie procesu rozpatrywania wniosków.</w:t>
      </w:r>
      <w:r>
        <w:t xml:space="preserve"> Cele szczegółowe (mierzalne):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wyznaczanie PD dla każdego wniosku w czasie poniżej 2 sekund, z modelem o ROC-AUC ≥ 0,85 na danych testowych,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porównanie co najmniej dwóch metod modelowania (regresja logistyczna, Random Forest) według metryk precision, recall i ROC-AUC oraz wybór modelu produkcyjnego,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wskazanie dla 100% ocen czynników, które zwiększyły lub zmniejszyły ryzyko,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skrócenie czasu od złożenia wniosku do decyzji z 2–3 dni do 1 dnia roboczego,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pełna ewidencja wniosków i decyzji wraz z dziennikiem zdarzeń (kto, co, kiedy).</w:t>
      </w:r>
    </w:p>
    <w:p>
      <w:pPr>
        <w:pStyle w:val="Heading2"/>
      </w:pPr>
      <w:r>
        <w:t xml:space="preserve">2.3. Zakres systemu</w:t>
      </w:r>
    </w:p>
    <w:p>
      <w:pPr>
        <w:keepNext/>
        <w:spacing w:after="60" w:before="160"/>
      </w:pPr>
      <w:r>
        <w:rPr>
          <w:i/>
          <w:iCs/>
          <w:color w:val="555555"/>
          <w:sz w:val="18"/>
          <w:szCs w:val="18"/>
        </w:rPr>
        <w:t xml:space="preserve">Tabela 3. Zakres systemu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 zakresie systemu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Poza zakresem (obecnej wersji)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Rejestracja wniosków o kredyt konsumpcyjny i walidacja danych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Kredyty hipoteczne, firmowe i rolnicze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Scoring – wyznaczenie PD i klasy ryzyka A–E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Automatyczne pobieranie danych z BIK (w prototypie wprowadzane ręcznie)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Reguły polityki kredytowej (DSTI, zaległości w BIK, wiek, staż)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Zawieranie umowy i uruchamianie środków (system core-banking)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Wyjaśnienie czynników wpływających na wynik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Weryfikacja dokumentów dochodowych i tożsamości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Ścieżka decyzyjna: rekomendacja → weryfikacja → decyzja / eskalacja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Monitoring spłat i windykacja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Porównanie modeli (LR, Random Forest, XGBoost), metryki i wybór modelu aktywnego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Kanał samoobsługowy klienta (wniosek online)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Raporty portfela wniosków, eksport CSV, karta oceny wniosku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Zarządzanie użytkownikami, rolami, progami polityki; dziennik zdarzeń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2.4. Procesy biznesowe</w:t>
      </w:r>
    </w:p>
    <w:p>
      <w:pPr>
        <w:spacing w:after="120" w:line="276"/>
        <w:jc w:val="both"/>
      </w:pPr>
      <w:r>
        <w:t xml:space="preserve">System obsługuje następujące procesy (numeracja zgodna z diagramem przepływu danych w rozdz. 7):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P1. Rejestracja wniosku</w:t>
      </w:r>
      <w:r>
        <w:t xml:space="preserve"> – doradca wprowadza dane klienta, parametry kredytu i dane z BIK; system waliduje dane (m.in. sumę kontrolną PESEL, zgodę klienta, spójność stażu z wiekiem).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P2. Scoring</w:t>
      </w:r>
      <w:r>
        <w:t xml:space="preserve"> – system przelicza cechy pochodne (np. kwota/dochód), wyznacza PD aktywnym modelem, przypisuje klasę ryzyka A–E i sprawdza reguły polityki kredytowej.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P3. Wyjaśnienie wyniku</w:t>
      </w:r>
      <w:r>
        <w:t xml:space="preserve"> – system wyznacza wpływ każdej danej wejściowej na PD i zapisuje go wraz z oceną.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P4. Decyzja kredytowa</w:t>
      </w:r>
      <w:r>
        <w:t xml:space="preserve"> – na podstawie rekomendacji analityk akceptuje, odrzuca lub eskaluje wniosek; wnioski powyżej limitu kwotowego rozstrzyga kierownik. Decyzja wymaga uzasadnienia.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P5. Raportowanie</w:t>
      </w:r>
      <w:r>
        <w:t xml:space="preserve"> – zestawienia portfela (wg klas ryzyka, statusów, celów, oddziałów), eksport danych.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P6. Trening i porównanie modeli</w:t>
      </w:r>
      <w:r>
        <w:t xml:space="preserve"> – okresowe (np. kwartalne) trenowanie modeli na danych historycznych, porównanie metryk i wybór modelu produkcyjnego przez administratora.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371850" cy="7239000"/>
            <wp:effectExtent t="0" r="0" b="0" l="0"/>
            <wp:docPr id="2" name="process.png" descr="Proces rozpatrywania wniosku kredytowego z wykorzystaniem SORK" title="Proces rozpatrywania wniosku kredytowego z wykorzystaniem S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Rys. 2. Proces rozpatrywania wniosku kredytowego z wykorzystaniem SORK</w:t>
      </w:r>
    </w:p>
    <w:p>
      <w:pPr>
        <w:pStyle w:val="Heading2"/>
      </w:pPr>
      <w:r>
        <w:t xml:space="preserve">2.5. Kontekst funkcjonowania systemu</w:t>
      </w:r>
    </w:p>
    <w:p>
      <w:pPr>
        <w:spacing w:after="120" w:line="276"/>
        <w:jc w:val="both"/>
      </w:pPr>
      <w:r>
        <w:t xml:space="preserve">Diagram kontekstowy przedstawia system jako całość wraz z użytkownikami (szare prostokąty) i systemami / instytucjami zewnętrznymi (kolor pomarańczowy) oraz główne przepływy informacji.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48100"/>
            <wp:effectExtent t="0" r="0" b="0" l="0"/>
            <wp:docPr id="3" name="context.png" descr="Diagram kontekstowy systemu SORK" title="Diagram kontekstowy systemu S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Rys. 3. Diagram kontekstowy systemu SORK</w:t>
      </w:r>
    </w:p>
    <w:p>
      <w:pPr>
        <w:pStyle w:val="Heading2"/>
      </w:pPr>
      <w:r>
        <w:t xml:space="preserve">2.6. Przykładowe dokumenty wynikowe</w:t>
      </w:r>
    </w:p>
    <w:p>
      <w:pPr>
        <w:keepNext/>
        <w:spacing w:after="60" w:before="160"/>
      </w:pPr>
      <w:r>
        <w:rPr>
          <w:i/>
          <w:iCs/>
          <w:color w:val="555555"/>
          <w:sz w:val="18"/>
          <w:szCs w:val="18"/>
        </w:rPr>
        <w:t xml:space="preserve">Tabela 4. Dokumenty wynikowe systemu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5"/>
        <w:gridCol w:w="2095"/>
        <w:gridCol w:w="3771"/>
        <w:gridCol w:w="1467"/>
      </w:tblGrid>
      <w:tr>
        <w:trPr>
          <w:tblHeader/>
        </w:trPr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Dokument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Odbiorca</w:t>
            </w:r>
          </w:p>
        </w:tc>
        <w:tc>
          <w:tcPr>
            <w:tcW w:type="dxa" w:w="3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Zawartość</w:t>
            </w:r>
          </w:p>
        </w:tc>
        <w:tc>
          <w:tcPr>
            <w:tcW w:type="dxa" w:w="1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Forma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Karta oceny ryzyka kredytowego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Doradca, analityk, klient (na żądanie), audyt</w:t>
            </w:r>
          </w:p>
        </w:tc>
        <w:tc>
          <w:tcPr>
            <w:tcW w:type="dxa" w:w="3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Dane wniosku, PD, klasa ryzyka, rekomendacja, reguły polityki, czynniki wpływające na wynik, decyzja i uzasadnienie</w:t>
            </w:r>
          </w:p>
        </w:tc>
        <w:tc>
          <w:tcPr>
            <w:tcW w:type="dxa" w:w="1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HTML do wydruku / PDF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Rejestr wniosków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Analityk, kierownik</w:t>
            </w:r>
          </w:p>
        </w:tc>
        <w:tc>
          <w:tcPr>
            <w:tcW w:type="dxa" w:w="3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Lista wniosków z filtrowaniem wg statusu, klasy, klienta</w:t>
            </w:r>
          </w:p>
        </w:tc>
        <w:tc>
          <w:tcPr>
            <w:tcW w:type="dxa" w:w="1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Ekran, CSV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Raport portfela wniosków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Kierownik, Zarząd</w:t>
            </w:r>
          </w:p>
        </w:tc>
        <w:tc>
          <w:tcPr>
            <w:tcW w:type="dxa" w:w="3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Liczba i kwota wniosków, wskaźnik akceptacji, średnie PD, rozkład klas ryzyka, ujęcie wg celów i oddziałów</w:t>
            </w:r>
          </w:p>
        </w:tc>
        <w:tc>
          <w:tcPr>
            <w:tcW w:type="dxa" w:w="1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Ekran, CSV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Raport porównania modeli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Analityk, kierownik, administrator, walidacja modeli</w:t>
            </w:r>
          </w:p>
        </w:tc>
        <w:tc>
          <w:tcPr>
            <w:tcW w:type="dxa" w:w="3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ROC-AUC, PR-AUC, precision, recall, F1, macierze pomyłek, krzywe ROC i PR, ważność cech</w:t>
            </w:r>
          </w:p>
        </w:tc>
        <w:tc>
          <w:tcPr>
            <w:tcW w:type="dxa" w:w="1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Ekran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Dziennik zdarzeń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Administrator, kierownik, audyt wewnętrzny</w:t>
            </w:r>
          </w:p>
        </w:tc>
        <w:tc>
          <w:tcPr>
            <w:tcW w:type="dxa" w:w="3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Logowania, rejestracje, decyzje, zmiany ustawień i modelu</w:t>
            </w:r>
          </w:p>
        </w:tc>
        <w:tc>
          <w:tcPr>
            <w:tcW w:type="dxa" w:w="1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Ekran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6096000"/>
            <wp:effectExtent t="0" r="0" b="0" l="0"/>
            <wp:docPr id="4" name="card.png" descr="Przykładowa karta oceny ryzyka kredytowego wygenerowana przez system" title="Przykładowa karta oceny ryzyka kredytowego wygenerowana przez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Rys. 4. Przykładowa karta oceny ryzyka kredytowego wygenerowana przez system</w:t>
      </w:r>
    </w:p>
    <w:p>
      <w:pPr>
        <w:pStyle w:val="Heading1"/>
        <w:pageBreakBefore/>
      </w:pPr>
      <w:r>
        <w:t xml:space="preserve">3. Użytkownicy, ich role i uprawnienia</w:t>
      </w:r>
    </w:p>
    <w:p>
      <w:pPr>
        <w:pStyle w:val="Heading2"/>
      </w:pPr>
      <w:r>
        <w:t xml:space="preserve">3.1. Charakterystyka użytkowników</w:t>
      </w:r>
    </w:p>
    <w:p>
      <w:pPr>
        <w:keepNext/>
        <w:spacing w:after="60" w:before="160"/>
      </w:pPr>
      <w:r>
        <w:rPr>
          <w:i/>
          <w:iCs/>
          <w:color w:val="555555"/>
          <w:sz w:val="18"/>
          <w:szCs w:val="18"/>
        </w:rPr>
        <w:t xml:space="preserve">Tabela 5. Użytkownicy systemu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2095"/>
        <w:gridCol w:w="4609"/>
        <w:gridCol w:w="839"/>
      </w:tblGrid>
      <w:tr>
        <w:trPr>
          <w:tblHeader/>
        </w:trPr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Rola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Kto</w:t>
            </w:r>
          </w:p>
        </w:tc>
        <w:tc>
          <w:tcPr>
            <w:tcW w:type="dxa" w:w="4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Charakterystyka i potrzeby</w:t>
            </w:r>
          </w:p>
        </w:tc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Liczba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Doradca kredytowy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Pracownicy oddziałów i filii</w:t>
            </w:r>
          </w:p>
        </w:tc>
        <w:tc>
          <w:tcPr>
            <w:tcW w:type="dxa" w:w="4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Pracuje z klientem, potrzebuje szybkiej i prostej rejestracji wniosku oraz czytelnej informacji o wyniku. Nie musi znać statystyki – wynik prezentowany jest jako klasa ryzyka i rekomendacja.</w:t>
            </w:r>
          </w:p>
        </w:tc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~32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Analityk ryzyka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Dział Analiz i Ryzyka</w:t>
            </w:r>
          </w:p>
        </w:tc>
        <w:tc>
          <w:tcPr>
            <w:tcW w:type="dxa" w:w="4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Ekspert ds. ryzyka, weryfikuje wnioski, podejmuje decyzje w ramach kompetencji, ocenia jakość modeli (metryki, czynniki).</w:t>
            </w:r>
          </w:p>
        </w:tc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3–4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Kierownik Działu Kredytów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Centrala</w:t>
            </w:r>
          </w:p>
        </w:tc>
        <w:tc>
          <w:tcPr>
            <w:tcW w:type="dxa" w:w="4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Podejmuje decyzje dla wniosków eskalowanych (powyżej limitu kwotowego), ustala progi polityki decyzyjnej, analizuje raporty portfela.</w:t>
            </w:r>
          </w:p>
        </w:tc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1–2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Administrator systemu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Dział Informatyki</w:t>
            </w:r>
          </w:p>
        </w:tc>
        <w:tc>
          <w:tcPr>
            <w:tcW w:type="dxa" w:w="4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Zarządza kontami i rolami, wdraża (trenuje) modele i wybiera model aktywny, przegląda dziennik zdarzeń. Nie podejmuje decyzji kredytowych.</w:t>
            </w:r>
          </w:p>
        </w:tc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1–2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t xml:space="preserve">Klient (wnioskodawca) nie jest bezpośrednim użytkownikiem systemu – kontaktuje się z doradcą i może otrzymać wydruk karty oceny z wyjaśnieniem czynników.</w:t>
      </w:r>
    </w:p>
    <w:p>
      <w:pPr>
        <w:pStyle w:val="Heading2"/>
      </w:pPr>
      <w:r>
        <w:t xml:space="preserve">3.2. Macierz uprawnień</w:t>
      </w:r>
    </w:p>
    <w:p>
      <w:pPr>
        <w:spacing w:after="120" w:line="276"/>
        <w:jc w:val="both"/>
      </w:pPr>
      <w:r>
        <w:t xml:space="preserve">Uprawnienia realizowane są w modelu RBAC (</w:t>
      </w:r>
      <w:r>
        <w:rPr>
          <w:i/>
          <w:iCs/>
        </w:rPr>
        <w:t xml:space="preserve">Role-Based Access Control</w:t>
      </w:r>
      <w:r>
        <w:t xml:space="preserve">): każdy użytkownik ma jedną rolę, a każda funkcja systemu wymaga określonego uprawnienia. Zasada „czterech oczu”: wniosek rejestruje doradca, a decyzję podejmuje inna osoba (analityk lub kierownik).</w:t>
      </w:r>
    </w:p>
    <w:p>
      <w:pPr>
        <w:keepNext/>
        <w:spacing w:after="60" w:before="160"/>
      </w:pPr>
      <w:r>
        <w:rPr>
          <w:i/>
          <w:iCs/>
          <w:color w:val="555555"/>
          <w:sz w:val="18"/>
          <w:szCs w:val="18"/>
        </w:rPr>
        <w:t xml:space="preserve">Tabela 6. Macierz uprawnień ról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6"/>
        <w:gridCol w:w="1178"/>
        <w:gridCol w:w="1178"/>
        <w:gridCol w:w="1178"/>
        <w:gridCol w:w="1178"/>
      </w:tblGrid>
      <w:tr>
        <w:trPr>
          <w:tblHeader/>
        </w:trPr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Uprawnienie / funkcja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Doradca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Analityk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Kierownik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Rejestracja wniosku i scoring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Podgląd własnych wniosków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Podgląd wszystkich wniosków, eksport rejestru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Decyzja (akceptacja / odrzucenie / eskalacja)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Decyzja dla wniosków powyżej limitu kwotowego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Raporty portfela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Porównanie modeli i metryki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Trening modeli i wybór modelu aktywnego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Ustawianie progów polityki decyzyjnej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Zarządzanie użytkownikami (dodawanie, blokowanie)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Podgląd dziennika zdarzeń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✔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4. Założenia i zależności systemu</w:t>
      </w:r>
    </w:p>
    <w:p>
      <w:pPr>
        <w:pStyle w:val="Heading2"/>
      </w:pPr>
      <w:r>
        <w:t xml:space="preserve">4.1. Obiekty zewnętrzne oddziałujące na system</w:t>
      </w:r>
    </w:p>
    <w:p>
      <w:pPr>
        <w:keepNext/>
        <w:spacing w:after="60" w:before="160"/>
      </w:pPr>
      <w:r>
        <w:rPr>
          <w:i/>
          <w:iCs/>
          <w:color w:val="555555"/>
          <w:sz w:val="18"/>
          <w:szCs w:val="18"/>
        </w:rPr>
        <w:t xml:space="preserve">Tabela 7. Obiekty zewnętrzne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4"/>
        <w:gridCol w:w="1886"/>
        <w:gridCol w:w="5238"/>
      </w:tblGrid>
      <w:tr>
        <w:trPr>
          <w:tblHeader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Obiekt zewnętrzny</w:t>
            </w:r>
          </w:p>
        </w:tc>
        <w:tc>
          <w:tcPr>
            <w:tcW w:type="dxa" w:w="1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Rodzaj zależności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Wpływ na system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Klient (wnioskodawca)</w:t>
            </w:r>
          </w:p>
        </w:tc>
        <w:tc>
          <w:tcPr>
            <w:tcW w:type="dxa" w:w="1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Źródło danych wniosku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Podaje dane osobowe, dochód, staż, cel i kwotę kredytu; wyraża zgodę na przetwarzanie danych i zapytanie do BIK.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Biuro Informacji Kredytowej (BIK)</w:t>
            </w:r>
          </w:p>
        </w:tc>
        <w:tc>
          <w:tcPr>
            <w:tcW w:type="dxa" w:w="1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Dostawca danych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Informacja o wcześniejszych zaległościach i długości historii kredytowej – istotne zmienne modelu. Docelowo integracja przez API BIK; w prototypie dane wprowadza doradca.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System core-banking</w:t>
            </w:r>
          </w:p>
        </w:tc>
        <w:tc>
          <w:tcPr>
            <w:tcW w:type="dxa" w:w="1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Odbiorca danych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 akceptacji wniosku dane są przekazywane do przygotowania umowy i uruchomienia kredytu.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Hurtownia danych / Dział Windykacji</w:t>
            </w:r>
          </w:p>
        </w:tc>
        <w:tc>
          <w:tcPr>
            <w:tcW w:type="dxa" w:w="1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Dostawca danych historycznych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Historia spłat kredytów (spłacony / niespłacony) stanowi zbiór uczący i walidacyjny modeli.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Komisja Nadzoru Finansowego</w:t>
            </w:r>
          </w:p>
        </w:tc>
        <w:tc>
          <w:tcPr>
            <w:tcW w:type="dxa" w:w="1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Regulator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Rekomendacja T (ekspozycje detaliczne) i Rekomendacja W (zarządzanie ryzykiem modeli) – wymóg dokumentacji, walidacji i monitorowania modeli.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UODO / RODO</w:t>
            </w:r>
          </w:p>
        </w:tc>
        <w:tc>
          <w:tcPr>
            <w:tcW w:type="dxa" w:w="1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Regulator, prawo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Minimalizacja i ochrona danych osobowych, prawo do interwencji człowieka przy decyzjach opartych na profilowaniu (art. 22 RODO).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AI Act (rozporządzenie UE 2024/1689)</w:t>
            </w:r>
          </w:p>
        </w:tc>
        <w:tc>
          <w:tcPr>
            <w:tcW w:type="dxa" w:w="1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Prawo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Systemy AI do oceny zdolności kredytowej osób fizycznych są systemami wysokiego ryzyka – wymagany nadzór człowieka, przejrzystość, rejestrowanie zdarzeń, zarządzanie jakością danych.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Prawo bankowe, ustawa o kredycie konsumenckim</w:t>
            </w:r>
          </w:p>
        </w:tc>
        <w:tc>
          <w:tcPr>
            <w:tcW w:type="dxa" w:w="1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Prawo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Obowiązek oceny zdolności kredytowej (art. 70 Pr.b., art. 9 u.k.k.) i prawo klienta do wyjaśnienia oceny (art. 70a Pr.b.).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4.2. Założenia projektowe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Dane uczące.</w:t>
      </w:r>
      <w:r>
        <w:t xml:space="preserve"> Do budowy prototypu wykorzystano publiczny zbiór </w:t>
      </w:r>
      <w:r>
        <w:rPr>
          <w:i/>
          <w:iCs/>
        </w:rPr>
        <w:t xml:space="preserve">Credit Risk Dataset</w:t>
      </w:r>
      <w:r>
        <w:t xml:space="preserve"> (Kaggle; 32 581 historycznych kredytów, kwoty w USD, 21,8% kredytów niespłaconych) jako odpowiednik danych historycznych Banku. Po wdrożeniu model zostanie przetrenowany na danych własnych Banku (w PLN).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Zmienna celu:</w:t>
      </w:r>
      <w:r>
        <w:t xml:space="preserve"> loan_status = 1 oznacza niewypłacalność (default). Model zwraca PD = P(loan_status = 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Wyłączenie zmiennej loan_grade</w:t>
      </w:r>
      <w:r>
        <w:t xml:space="preserve"> – jest to wewnętrzny rating nadawany przez kredytodawcę w wyniku oceny, więc jej użycie powodowałoby „przeciek” informacji o wyniku do modelu.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Człowiek podejmuje decyzję.</w:t>
      </w:r>
      <w:r>
        <w:t xml:space="preserve"> System wydaje rekomendację; każda decyzja kredytowa jest zatwierdzana przez uprawnionego pracownika i wymaga uzasadnienia (nadzór człowieka zgodnie z AI Act i art. 22 RODO).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Polityka decyzyjna jest parametryzowana</w:t>
      </w:r>
      <w:r>
        <w:t xml:space="preserve">: domyślnie PD &lt; 15% → rekomendacja akceptacji, 15–50% → weryfikacja analityka, ≥ 50% → rekomendacja odrzucenia; kwota &gt; 25 000 → decyzja kierownika.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Środowisko pracy:</w:t>
      </w:r>
      <w:r>
        <w:t xml:space="preserve"> aplikacja webowa w sieci wewnętrznej Banku, dostęp przez przeglądarkę, bez instalacji na stanowiskach.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Cykl życia modelu:</w:t>
      </w:r>
      <w:r>
        <w:t xml:space="preserve"> ponowny trening co kwartał lub po istotnej zmianie portfela; każda wersja modelu zapisywana z datą i metrykami; zmianę modelu aktywnego wykonuje administrator, a fakt ten jest rejestrowany.</w:t>
      </w:r>
    </w:p>
    <w:p>
      <w:pPr>
        <w:pStyle w:val="Heading2"/>
      </w:pPr>
      <w:r>
        <w:t xml:space="preserve">4.3. Ograniczenia i ryzyka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Zbiór uczący pochodzi z innego rynku (USA) – w prototypie wyniki należy traktować demonstracyjnie; przed wdrożeniem konieczna walidacja na danych Banku.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może utrwalać wzorce obecne w danych historycznych – wymagany okresowy przegląd pod kątem dyskryminacji (np. wpływ wieku).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Wyjaśnienia lokalne mają charakter przybliżony (wpływ pojedynczej cechy przy pozostałych bez zmian) i nie sumują się dokładnie do PD.</w:t>
      </w:r>
    </w:p>
    <w:p>
      <w:pPr>
        <w:pStyle w:val="Heading1"/>
        <w:pageBreakBefore/>
      </w:pPr>
      <w:r>
        <w:t xml:space="preserve">5. Wymagania funkcjonalne</w:t>
      </w:r>
    </w:p>
    <w:p>
      <w:pPr>
        <w:spacing w:after="120" w:line="276"/>
        <w:jc w:val="both"/>
      </w:pPr>
      <w:r>
        <w:t xml:space="preserve">Priorytety wg metody MoSCoW: M – must have, S – should have, C – could have. Kolumna „Prototyp” wskazuje, czy wymaganie zostało zrealizowane w działającej aplikacji.</w:t>
      </w:r>
    </w:p>
    <w:p>
      <w:pPr>
        <w:keepNext/>
        <w:spacing w:after="60" w:before="160"/>
      </w:pPr>
      <w:r>
        <w:rPr>
          <w:i/>
          <w:iCs/>
          <w:color w:val="555555"/>
          <w:sz w:val="18"/>
          <w:szCs w:val="18"/>
        </w:rPr>
        <w:t xml:space="preserve">Tabela 8. Wymagania funkcjonalne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3"/>
        <w:gridCol w:w="5389"/>
        <w:gridCol w:w="1658"/>
        <w:gridCol w:w="725"/>
        <w:gridCol w:w="933"/>
      </w:tblGrid>
      <w:tr>
        <w:trPr>
          <w:tblHeader/>
        </w:trPr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5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Wymaganie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Rola</w:t>
            </w:r>
          </w:p>
        </w:tc>
        <w:tc>
          <w:tcPr>
            <w:tcW w:type="dxa" w:w="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Prior.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Prototyp</w:t>
            </w:r>
          </w:p>
        </w:tc>
      </w:tr>
      <w:tr>
        <w:trPr>
          <w:cantSplit/>
        </w:trPr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WF-01</w:t>
            </w:r>
          </w:p>
        </w:tc>
        <w:tc>
          <w:tcPr>
            <w:tcW w:type="dxa" w:w="5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Logowanie użytkownika loginem i hasłem; wylogowanie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wszyscy</w:t>
            </w:r>
          </w:p>
        </w:tc>
        <w:tc>
          <w:tcPr>
            <w:tcW w:type="dxa" w:w="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WF-02</w:t>
            </w:r>
          </w:p>
        </w:tc>
        <w:tc>
          <w:tcPr>
            <w:tcW w:type="dxa" w:w="5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Menu i dostęp do funkcji zależne od roli użytkownika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wszyscy</w:t>
            </w:r>
          </w:p>
        </w:tc>
        <w:tc>
          <w:tcPr>
            <w:tcW w:type="dxa" w:w="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WF-03</w:t>
            </w:r>
          </w:p>
        </w:tc>
        <w:tc>
          <w:tcPr>
            <w:tcW w:type="dxa" w:w="5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Rejestracja wniosku: dane klienta (imię, nazwisko, PESEL, wiek, dochód, staż, status mieszkaniowy), dane kredytu (cel, kwota, oprocentowanie, okres), dane BIK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Doradca</w:t>
            </w:r>
          </w:p>
        </w:tc>
        <w:tc>
          <w:tcPr>
            <w:tcW w:type="dxa" w:w="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WF-04</w:t>
            </w:r>
          </w:p>
        </w:tc>
        <w:tc>
          <w:tcPr>
            <w:tcW w:type="dxa" w:w="5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Walidacja danych wniosku: suma kontrolna PESEL, wymagana zgoda klienta, dochód &gt; 0, spójność stażu z wiekiem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Doradca</w:t>
            </w:r>
          </w:p>
        </w:tc>
        <w:tc>
          <w:tcPr>
            <w:tcW w:type="dxa" w:w="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WF-05</w:t>
            </w:r>
          </w:p>
        </w:tc>
        <w:tc>
          <w:tcPr>
            <w:tcW w:type="dxa" w:w="5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Nadanie unikalnego numeru wniosku (WK/RRRR/NNNNN) i zapis w rejestrze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system</w:t>
            </w:r>
          </w:p>
        </w:tc>
        <w:tc>
          <w:tcPr>
            <w:tcW w:type="dxa" w:w="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WF-06</w:t>
            </w:r>
          </w:p>
        </w:tc>
        <w:tc>
          <w:tcPr>
            <w:tcW w:type="dxa" w:w="5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Wyznaczenie PD aktywnym modelem i przypisanie klasy ryzyka A–E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system</w:t>
            </w:r>
          </w:p>
        </w:tc>
        <w:tc>
          <w:tcPr>
            <w:tcW w:type="dxa" w:w="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WF-07</w:t>
            </w:r>
          </w:p>
        </w:tc>
        <w:tc>
          <w:tcPr>
            <w:tcW w:type="dxa" w:w="5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Sprawdzenie reguł polityki kredytowej (DSTI &gt; 40%/50%, zaległości w BIK, wiek na koniec okresu &gt; 80 lat, staż &lt; 1 rok)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system</w:t>
            </w:r>
          </w:p>
        </w:tc>
        <w:tc>
          <w:tcPr>
            <w:tcW w:type="dxa" w:w="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WF-08</w:t>
            </w:r>
          </w:p>
        </w:tc>
        <w:tc>
          <w:tcPr>
            <w:tcW w:type="dxa" w:w="5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Wygenerowanie rekomendacji (akceptacja / weryfikacja / odrzucenie) wg progów PD i skierowanie wniosku do właściwej osoby (analityk / kierownik)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system</w:t>
            </w:r>
          </w:p>
        </w:tc>
        <w:tc>
          <w:tcPr>
            <w:tcW w:type="dxa" w:w="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WF-09</w:t>
            </w:r>
          </w:p>
        </w:tc>
        <w:tc>
          <w:tcPr>
            <w:tcW w:type="dxa" w:w="5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Wyjaśnienie wyniku: wpływ każdego czynnika na PD (wykres i tabela), z kierunkiem wpływu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system</w:t>
            </w:r>
          </w:p>
        </w:tc>
        <w:tc>
          <w:tcPr>
            <w:tcW w:type="dxa" w:w="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WF-10</w:t>
            </w:r>
          </w:p>
        </w:tc>
        <w:tc>
          <w:tcPr>
            <w:tcW w:type="dxa" w:w="5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Rejestr wniosków z filtrowaniem (status, klasa ryzyka, wyszukiwanie po numerze/kliencie); doradca widzi tylko swoje wnioski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wszyscy</w:t>
            </w:r>
          </w:p>
        </w:tc>
        <w:tc>
          <w:tcPr>
            <w:tcW w:type="dxa" w:w="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WF-11</w:t>
            </w:r>
          </w:p>
        </w:tc>
        <w:tc>
          <w:tcPr>
            <w:tcW w:type="dxa" w:w="5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Podgląd szczegółów wniosku (dane, wynik, czynniki, decyzja)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wszyscy</w:t>
            </w:r>
          </w:p>
        </w:tc>
        <w:tc>
          <w:tcPr>
            <w:tcW w:type="dxa" w:w="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WF-12</w:t>
            </w:r>
          </w:p>
        </w:tc>
        <w:tc>
          <w:tcPr>
            <w:tcW w:type="dxa" w:w="5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Decyzja: akceptacja / odrzucenie z obowiązkowym uzasadnieniem; eskalacja do kierownika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Analityk, Kierownik</w:t>
            </w:r>
          </w:p>
        </w:tc>
        <w:tc>
          <w:tcPr>
            <w:tcW w:type="dxa" w:w="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WF-13</w:t>
            </w:r>
          </w:p>
        </w:tc>
        <w:tc>
          <w:tcPr>
            <w:tcW w:type="dxa" w:w="5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Decyzja dla wniosków powyżej limitu kwotowego tylko przez kierownika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Kierownik</w:t>
            </w:r>
          </w:p>
        </w:tc>
        <w:tc>
          <w:tcPr>
            <w:tcW w:type="dxa" w:w="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WF-14</w:t>
            </w:r>
          </w:p>
        </w:tc>
        <w:tc>
          <w:tcPr>
            <w:tcW w:type="dxa" w:w="5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Generowanie karty oceny ryzyka (dokument do wydruku/PDF)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wszyscy</w:t>
            </w:r>
          </w:p>
        </w:tc>
        <w:tc>
          <w:tcPr>
            <w:tcW w:type="dxa" w:w="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WF-15</w:t>
            </w:r>
          </w:p>
        </w:tc>
        <w:tc>
          <w:tcPr>
            <w:tcW w:type="dxa" w:w="5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Trening modeli: regresja logistyczna i Random Forest (opcjonalnie XGBoost), walidacja krzyżowa 5-fold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WF-16</w:t>
            </w:r>
          </w:p>
        </w:tc>
        <w:tc>
          <w:tcPr>
            <w:tcW w:type="dxa" w:w="5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Porównanie modeli: precision, recall, F1, specificity, ROC-AUC, PR-AUC, Brier, macierze pomyłek, krzywe ROC i PR – przy progu 0,5 i progu optymalnym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Analityk, Kierownik, Admin</w:t>
            </w:r>
          </w:p>
        </w:tc>
        <w:tc>
          <w:tcPr>
            <w:tcW w:type="dxa" w:w="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WF-17</w:t>
            </w:r>
          </w:p>
        </w:tc>
        <w:tc>
          <w:tcPr>
            <w:tcW w:type="dxa" w:w="5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Globalna ważność czynników (permutacyjna) i współczynniki regresji logistycznej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Analityk, Kierownik, Admin</w:t>
            </w:r>
          </w:p>
        </w:tc>
        <w:tc>
          <w:tcPr>
            <w:tcW w:type="dxa" w:w="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WF-18</w:t>
            </w:r>
          </w:p>
        </w:tc>
        <w:tc>
          <w:tcPr>
            <w:tcW w:type="dxa" w:w="5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Wybór modelu aktywnego używanego do scoringu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WF-19</w:t>
            </w:r>
          </w:p>
        </w:tc>
        <w:tc>
          <w:tcPr>
            <w:tcW w:type="dxa" w:w="5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Raporty portfela: liczba i kwota wniosków, wskaźnik akceptacji, średnie PD, rozkład wg klas, statusów, celów i oddziałów; eksport CSV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Analityk, Kierownik</w:t>
            </w:r>
          </w:p>
        </w:tc>
        <w:tc>
          <w:tcPr>
            <w:tcW w:type="dxa" w:w="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WF-20</w:t>
            </w:r>
          </w:p>
        </w:tc>
        <w:tc>
          <w:tcPr>
            <w:tcW w:type="dxa" w:w="5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Konfiguracja progów PD i limitu kwotowego eskalacji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Kierownik</w:t>
            </w:r>
          </w:p>
        </w:tc>
        <w:tc>
          <w:tcPr>
            <w:tcW w:type="dxa" w:w="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WF-21</w:t>
            </w:r>
          </w:p>
        </w:tc>
        <w:tc>
          <w:tcPr>
            <w:tcW w:type="dxa" w:w="5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Zarządzanie użytkownikami: dodawanie, przypisanie roli i oddziału, blokowanie kont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WF-22</w:t>
            </w:r>
          </w:p>
        </w:tc>
        <w:tc>
          <w:tcPr>
            <w:tcW w:type="dxa" w:w="5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Dziennik zdarzeń: logowania (również nieudane), rejestracje, decyzje, zmiany ustawień i modeli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Admin, Kierownik</w:t>
            </w:r>
          </w:p>
        </w:tc>
        <w:tc>
          <w:tcPr>
            <w:tcW w:type="dxa" w:w="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WF-23</w:t>
            </w:r>
          </w:p>
        </w:tc>
        <w:tc>
          <w:tcPr>
            <w:tcW w:type="dxa" w:w="5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Pulpit z listą zadań zależną od roli (np. kolejka wniosków do weryfikacji)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wszyscy</w:t>
            </w:r>
          </w:p>
        </w:tc>
        <w:tc>
          <w:tcPr>
            <w:tcW w:type="dxa" w:w="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WF-24</w:t>
            </w:r>
          </w:p>
        </w:tc>
        <w:tc>
          <w:tcPr>
            <w:tcW w:type="dxa" w:w="5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Automatyczne pobieranie danych z BIK przez API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system</w:t>
            </w:r>
          </w:p>
        </w:tc>
        <w:tc>
          <w:tcPr>
            <w:tcW w:type="dxa" w:w="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WF-25</w:t>
            </w:r>
          </w:p>
        </w:tc>
        <w:tc>
          <w:tcPr>
            <w:tcW w:type="dxa" w:w="5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Przekazanie zaakceptowanego wniosku do systemu core-banking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system</w:t>
            </w:r>
          </w:p>
        </w:tc>
        <w:tc>
          <w:tcPr>
            <w:tcW w:type="dxa" w:w="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WF-26</w:t>
            </w:r>
          </w:p>
        </w:tc>
        <w:tc>
          <w:tcPr>
            <w:tcW w:type="dxa" w:w="5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Monitorowanie stabilności modelu (PSI) i porównanie prognoz z faktyczną spłacalnością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Analityk</w:t>
            </w:r>
          </w:p>
        </w:tc>
        <w:tc>
          <w:tcPr>
            <w:tcW w:type="dxa" w:w="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6. Wymagania niefunkcjonalne</w:t>
      </w:r>
    </w:p>
    <w:p>
      <w:pPr>
        <w:keepNext/>
        <w:spacing w:after="60" w:before="160"/>
      </w:pPr>
      <w:r>
        <w:rPr>
          <w:i/>
          <w:iCs/>
          <w:color w:val="555555"/>
          <w:sz w:val="18"/>
          <w:szCs w:val="18"/>
        </w:rPr>
        <w:t xml:space="preserve">Tabela 9. Wymagania niefunkcjonalne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8"/>
        <w:gridCol w:w="2305"/>
        <w:gridCol w:w="6285"/>
      </w:tblGrid>
      <w:tr>
        <w:trPr>
          <w:tblHeader/>
        </w:trPr>
        <w:tc>
          <w:tcPr>
            <w:tcW w:type="dxa" w:w="1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Kategoria</w:t>
            </w:r>
          </w:p>
        </w:tc>
        <w:tc>
          <w:tcPr>
            <w:tcW w:type="dxa" w:w="6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Wymaganie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WNF-01</w:t>
            </w:r>
          </w:p>
        </w:tc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Wydajność</w:t>
            </w:r>
          </w:p>
        </w:tc>
        <w:tc>
          <w:tcPr>
            <w:tcW w:type="dxa" w:w="6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Scoring pojedynczego wniosku wraz z wyjaśnieniem ≤ 2 s; otwarcie rejestru do 10 000 wniosków ≤ 3 s.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WNF-02</w:t>
            </w:r>
          </w:p>
        </w:tc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Jakość modelu</w:t>
            </w:r>
          </w:p>
        </w:tc>
        <w:tc>
          <w:tcPr>
            <w:tcW w:type="dxa" w:w="6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ROC-AUC modelu produkcyjnego ≥ 0,85 na zbiorze testowym; recall klasy „niewypłacalny” ≥ 0,65 przy progu roboczym; różnica AUC trening/CV ≤ 0,03 (brak przeuczenia).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WNF-03</w:t>
            </w:r>
          </w:p>
        </w:tc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Wyjaśnialność</w:t>
            </w:r>
          </w:p>
        </w:tc>
        <w:tc>
          <w:tcPr>
            <w:tcW w:type="dxa" w:w="6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Każdy wynik posiada wyjaśnienie czynników w języku zrozumiałym dla doradcy i klienta (art. 70a Pr.b.).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WNF-04</w:t>
            </w:r>
          </w:p>
        </w:tc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Bezpieczeństwo – uwierzytelnianie</w:t>
            </w:r>
          </w:p>
        </w:tc>
        <w:tc>
          <w:tcPr>
            <w:tcW w:type="dxa" w:w="6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Hasła przechowywane wyłącznie jako skrót PBKDF2-SHA256 z solą (200 000 iteracji); możliwość blokady konta; docelowo integracja z Active Directory / SSO.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WNF-05</w:t>
            </w:r>
          </w:p>
        </w:tc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Bezpieczeństwo – autoryzacja</w:t>
            </w:r>
          </w:p>
        </w:tc>
        <w:tc>
          <w:tcPr>
            <w:tcW w:type="dxa" w:w="6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Kontrola dostępu oparta na rolach (RBAC) na poziomie menu i każdej funkcji; zasada „czterech oczu” przy decyzji.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WNF-06</w:t>
            </w:r>
          </w:p>
        </w:tc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Rozliczalność</w:t>
            </w:r>
          </w:p>
        </w:tc>
        <w:tc>
          <w:tcPr>
            <w:tcW w:type="dxa" w:w="6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Rejestrowanie w dzienniku zdarzeń wszystkich operacji istotnych (kto, co, kiedy, obiekt); dziennik tylko do odczytu dla użytkowników.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WNF-07</w:t>
            </w:r>
          </w:p>
        </w:tc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Ochrona danych osobowych</w:t>
            </w:r>
          </w:p>
        </w:tc>
        <w:tc>
          <w:tcPr>
            <w:tcW w:type="dxa" w:w="6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Minimalizacja danych; maskowanie numeru PESEL w widokach i dokumentach (6 pierwszych cyfr); szyfrowanie transmisji (HTTPS) i kopii zapasowych w środowisku produkcyjnym; retencja zgodna z polityką Banku.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WNF-08</w:t>
            </w:r>
          </w:p>
        </w:tc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Zgodność regulacyjna</w:t>
            </w:r>
          </w:p>
        </w:tc>
        <w:tc>
          <w:tcPr>
            <w:tcW w:type="dxa" w:w="6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Zgodność z RODO, Rekomendacjami T i W KNF oraz wymaganiami AI Act dla systemów wysokiego ryzyka (nadzór człowieka, dokumentacja, rejestrowanie, jakość danych).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WNF-09</w:t>
            </w:r>
          </w:p>
        </w:tc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Dostępność</w:t>
            </w:r>
          </w:p>
        </w:tc>
        <w:tc>
          <w:tcPr>
            <w:tcW w:type="dxa" w:w="6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Dostępność w godzinach pracy oddziałów (pn–pt 7:00–19:00) na poziomie 99%; kopia zapasowa bazy codziennie.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WNF-10</w:t>
            </w:r>
          </w:p>
        </w:tc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Użyteczność</w:t>
            </w:r>
          </w:p>
        </w:tc>
        <w:tc>
          <w:tcPr>
            <w:tcW w:type="dxa" w:w="6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Interfejs w języku polskim, przeglądarkowy, bez instalacji; rejestracja wniosku w ≤ 3 minuty; czytelna prezentacja wyniku (klasa, kolor, rekomendacja).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WNF-11</w:t>
            </w:r>
          </w:p>
        </w:tc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Utrzymywalność</w:t>
            </w:r>
          </w:p>
        </w:tc>
        <w:tc>
          <w:tcPr>
            <w:tcW w:type="dxa" w:w="6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Architektura warstwowa (prezentacja / logika / dane), wspólny moduł inżynierii cech dla treningu i scoringu, wersjonowanie modeli (data treningu zapisywana przy każdym wniosku).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WNF-12</w:t>
            </w:r>
          </w:p>
        </w:tc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Przenośność</w:t>
            </w:r>
          </w:p>
        </w:tc>
        <w:tc>
          <w:tcPr>
            <w:tcW w:type="dxa" w:w="6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Python 3.10+, biblioteki open-source (Streamlit, scikit-learn, pandas); działa w systemach Windows i Linux; baza SQLite w prototypie, docelowo PostgreSQL / MS SQL.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WNF-13</w:t>
            </w:r>
          </w:p>
        </w:tc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Skalowalność</w:t>
            </w:r>
          </w:p>
        </w:tc>
        <w:tc>
          <w:tcPr>
            <w:tcW w:type="dxa" w:w="6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Obsługa ok. 40 jednoczesnych użytkowników i 10 000 wniosków rocznie bez zmian architektury.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WNF-14</w:t>
            </w:r>
          </w:p>
        </w:tc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Odtwarzalność</w:t>
            </w:r>
          </w:p>
        </w:tc>
        <w:tc>
          <w:tcPr>
            <w:tcW w:type="dxa" w:w="6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Trening modeli w pełni odtwarzalny (stałe ziarna losowe, skrypt train_models.py, zapis metryk w metrics.json).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7. Projekt koncepcyjny systemu</w:t>
      </w:r>
    </w:p>
    <w:p>
      <w:pPr>
        <w:pStyle w:val="Heading2"/>
      </w:pPr>
      <w:r>
        <w:t xml:space="preserve">7.1. Architektura logiczna</w:t>
      </w:r>
    </w:p>
    <w:p>
      <w:pPr>
        <w:spacing w:after="120" w:line="276"/>
        <w:jc w:val="both"/>
      </w:pPr>
      <w:r>
        <w:t xml:space="preserve">System zbudowano w architekturze trójwarstwowej. </w:t>
      </w:r>
      <w:r>
        <w:rPr>
          <w:b/>
          <w:bCs/>
        </w:rPr>
        <w:t xml:space="preserve">Warstwa prezentacji</w:t>
      </w:r>
      <w:r>
        <w:t xml:space="preserve"> (Streamlit) zawiera ekrany dostępne zależnie od roli. </w:t>
      </w:r>
      <w:r>
        <w:rPr>
          <w:b/>
          <w:bCs/>
        </w:rPr>
        <w:t xml:space="preserve">Warstwa logiki</w:t>
      </w:r>
      <w:r>
        <w:t xml:space="preserve"> obejmuje moduły: uwierzytelniania i uprawnień, scoringu i polityki decyzyjnej, inżynierii cech oraz trenowania modeli. </w:t>
      </w:r>
      <w:r>
        <w:rPr>
          <w:b/>
          <w:bCs/>
        </w:rPr>
        <w:t xml:space="preserve">Warstwa danych</w:t>
      </w:r>
      <w:r>
        <w:t xml:space="preserve"> to relacyjna baza SQLite (wnioski, użytkownicy, ustawienia, dziennik), zapisane modele z metrykami oraz zbiór danych historycznych.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1885950"/>
            <wp:effectExtent t="0" r="0" b="0" l="0"/>
            <wp:docPr id="5" name="arch.png" descr="Architektura logiczna systemu" title="Architektura logiczna system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Rys. 5. Architektura logiczna systemu</w:t>
      </w:r>
    </w:p>
    <w:p>
      <w:pPr>
        <w:pStyle w:val="Heading2"/>
      </w:pPr>
      <w:r>
        <w:t xml:space="preserve">7.2. Główne przepływy informacji (DFD)</w:t>
      </w:r>
    </w:p>
    <w:p>
      <w:pPr>
        <w:spacing w:after="120" w:line="276"/>
        <w:jc w:val="both"/>
      </w:pPr>
      <w:r>
        <w:t xml:space="preserve">Diagram przepływu danych (poziom 1) pokazuje procesy P1–P6, magazyny danych D1–D5 oraz obiekty zewnętrzne. Kluczowy przepływ: dane klienta i dane z BIK → rejestracja (1.0) → scoring (2.0) z wykorzystaniem aktywnego modelu (D2) i progów (D3) → wyjaśnienie (3.0) → zapis w rejestrze wniosków (D1) → decyzja (4.0) z zapisem do dziennika (D4).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562350" cy="7620000"/>
            <wp:effectExtent t="0" r="0" b="0" l="0"/>
            <wp:docPr id="6" name="dfd.png" descr="Diagram przepływu danych (DFD, poziom 1)" title="Diagram przepływu danych (DFD, poziom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Rys. 6. Diagram przepływu danych (DFD, poziom 1)</w:t>
      </w:r>
    </w:p>
    <w:p>
      <w:pPr>
        <w:pStyle w:val="Heading2"/>
      </w:pPr>
      <w:r>
        <w:t xml:space="preserve">7.3. Cykl życia wniosku (statusy)</w:t>
      </w:r>
    </w:p>
    <w:p>
      <w:pPr>
        <w:keepNext/>
        <w:spacing w:after="60" w:before="160"/>
      </w:pPr>
      <w:r>
        <w:rPr>
          <w:i/>
          <w:iCs/>
          <w:color w:val="555555"/>
          <w:sz w:val="18"/>
          <w:szCs w:val="18"/>
        </w:rPr>
        <w:t xml:space="preserve">Tabela 10. Statusy wniosku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3076"/>
        <w:gridCol w:w="1641"/>
        <w:gridCol w:w="2665"/>
      </w:tblGrid>
      <w:tr>
        <w:trPr>
          <w:tblHeader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3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Warunek wejścia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Kto rozpatruje</w:t>
            </w:r>
          </w:p>
        </w:tc>
        <w:tc>
          <w:tcPr>
            <w:tcW w:type="dxa" w:w="2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Możliwe przejścia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Rekomendacja pozytywna</w:t>
            </w:r>
          </w:p>
        </w:tc>
        <w:tc>
          <w:tcPr>
            <w:tcW w:type="dxa" w:w="3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PD &lt; próg akceptacji (15%), kwota ≤ limit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Analityk</w:t>
            </w:r>
          </w:p>
        </w:tc>
        <w:tc>
          <w:tcPr>
            <w:tcW w:type="dxa" w:w="2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Zaakceptowany, Odrzucony, Do akceptacji kierownika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 weryfikacji</w:t>
            </w:r>
          </w:p>
        </w:tc>
        <w:tc>
          <w:tcPr>
            <w:tcW w:type="dxa" w:w="3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15% ≤ PD &lt; 50%, kwota ≤ limit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Analityk</w:t>
            </w:r>
          </w:p>
        </w:tc>
        <w:tc>
          <w:tcPr>
            <w:tcW w:type="dxa" w:w="2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j.w.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Rekomendacja negatywna</w:t>
            </w:r>
          </w:p>
        </w:tc>
        <w:tc>
          <w:tcPr>
            <w:tcW w:type="dxa" w:w="3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PD ≥ 50%, kwota ≤ limit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Analityk</w:t>
            </w:r>
          </w:p>
        </w:tc>
        <w:tc>
          <w:tcPr>
            <w:tcW w:type="dxa" w:w="2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j.w.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 akceptacji kierownika</w:t>
            </w:r>
          </w:p>
        </w:tc>
        <w:tc>
          <w:tcPr>
            <w:tcW w:type="dxa" w:w="3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kwota &gt; limit (25 000) lub eskalacja przez analityka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Kierownik</w:t>
            </w:r>
          </w:p>
        </w:tc>
        <w:tc>
          <w:tcPr>
            <w:tcW w:type="dxa" w:w="2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Zaakceptowany, Odrzucony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Zaakceptowany / Odrzucony</w:t>
            </w:r>
          </w:p>
        </w:tc>
        <w:tc>
          <w:tcPr>
            <w:tcW w:type="dxa" w:w="3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decyzja z uzasadnieniem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2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status końcowy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i/>
          <w:iCs/>
          <w:color w:val="555555"/>
          <w:sz w:val="18"/>
          <w:szCs w:val="18"/>
        </w:rPr>
        <w:t xml:space="preserve">Tabela 11. Klasy ryzyka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570"/>
        <w:gridCol w:w="514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Klasa ryzyka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Przedział PD</w:t>
            </w:r>
          </w:p>
        </w:tc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Interpretacja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&lt; 5%</w:t>
            </w:r>
          </w:p>
        </w:tc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ryzyko bardzo niskie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5–10%</w:t>
            </w:r>
          </w:p>
        </w:tc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ryzyko niskie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10–20%</w:t>
            </w:r>
          </w:p>
        </w:tc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ryzyko umiarkowane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20–40%</w:t>
            </w:r>
          </w:p>
        </w:tc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ryzyko podwyższone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≥ 40%</w:t>
            </w:r>
          </w:p>
        </w:tc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ryzyko wysokie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7.4. Model danych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276600"/>
            <wp:effectExtent t="0" r="0" b="0" l="0"/>
            <wp:docPr id="7" name="erd.png" descr="Diagram związków encji (bazy danych systemu)" title="Diagram związków encji (bazy danych systemu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Rys. 7. Diagram związków encji (bazy danych systemu)</w:t>
      </w:r>
    </w:p>
    <w:p>
      <w:pPr>
        <w:spacing w:after="120" w:line="276"/>
        <w:jc w:val="both"/>
      </w:pPr>
      <w:r>
        <w:t xml:space="preserve">Tabela </w:t>
      </w:r>
      <w:r>
        <w:rPr>
          <w:b/>
          <w:bCs/>
        </w:rPr>
        <w:t xml:space="preserve">applications</w:t>
      </w:r>
      <w:r>
        <w:t xml:space="preserve"> przechowuje oprócz danych wniosku także wynik oceny w momencie jej wykonania (PD, klasa, rekomendacja, wyjaśnienie w formacie JSON, klucz i wersja modelu). Dzięki temu decyzja jest odtwarzalna nawet po wdrożeniu nowej wersji modelu.</w:t>
      </w:r>
    </w:p>
    <w:p>
      <w:pPr>
        <w:pStyle w:val="Heading2"/>
      </w:pPr>
      <w:r>
        <w:t xml:space="preserve">7.5. Model scoringowy</w:t>
      </w:r>
    </w:p>
    <w:p>
      <w:pPr>
        <w:pStyle w:val="Heading3"/>
      </w:pPr>
      <w:r>
        <w:t xml:space="preserve">Przygotowanie danych i cechy</w:t>
      </w:r>
    </w:p>
    <w:p>
      <w:pPr>
        <w:spacing w:after="120" w:line="276"/>
        <w:jc w:val="both"/>
      </w:pPr>
      <w:r>
        <w:t xml:space="preserve">Z danych historycznych usunięto duplikaty i wartości nierealne (wiek &gt; 80 lat, staż &gt; 60 lat); braki danych (oprocentowanie, staż) uzupełnia mediana wewnątrz pipeline’u. Zbiór podzielono na uczący (80%, 25 925 rekordów) i testowy (20%, 6 482) z zachowaniem proporcji klas. Ten sam moduł </w:t>
      </w:r>
      <w:r>
        <w:rPr>
          <w:i/>
          <w:iCs/>
        </w:rPr>
        <w:t xml:space="preserve">features.py</w:t>
      </w:r>
      <w:r>
        <w:t xml:space="preserve"> wylicza cechy przy treningu i w aplikacji, co eliminuje rozbieżności między danymi uczącymi a produkcyjnymi.</w:t>
      </w:r>
    </w:p>
    <w:p>
      <w:pPr>
        <w:keepNext/>
        <w:spacing w:after="60" w:before="160"/>
      </w:pPr>
      <w:r>
        <w:rPr>
          <w:i/>
          <w:iCs/>
          <w:color w:val="555555"/>
          <w:sz w:val="18"/>
          <w:szCs w:val="18"/>
        </w:rPr>
        <w:t xml:space="preserve">Tabela 12. Cechy modelu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7496"/>
      </w:tblGrid>
      <w:tr>
        <w:trPr>
          <w:tblHeader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Grupa</w:t>
            </w:r>
          </w:p>
        </w:tc>
        <w:tc>
          <w:tcPr>
            <w:tcW w:type="dxa" w:w="7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Cechy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Dane klienta</w:t>
            </w:r>
          </w:p>
        </w:tc>
        <w:tc>
          <w:tcPr>
            <w:tcW w:type="dxa" w:w="7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wiek, roczny dochód, staż pracy, status mieszkaniowy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Dane kredytu</w:t>
            </w:r>
          </w:p>
        </w:tc>
        <w:tc>
          <w:tcPr>
            <w:tcW w:type="dxa" w:w="7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cel kredytu, kwota, oprocentowanie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Dane z BIK</w:t>
            </w:r>
          </w:p>
        </w:tc>
        <w:tc>
          <w:tcPr>
            <w:tcW w:type="dxa" w:w="7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wcześniejsze zaległości (T/N), długość historii kredytowej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Cechy pochodne</w:t>
            </w:r>
          </w:p>
        </w:tc>
        <w:tc>
          <w:tcPr>
            <w:tcW w:type="dxa" w:w="7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log(dochód), kwota/dochód, staż/kwota, oprocentowanie/kwota, grupa wiekowa, grupa dochodowa, grupa kwoty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Przetwarzanie</w:t>
            </w:r>
          </w:p>
        </w:tc>
        <w:tc>
          <w:tcPr>
            <w:tcW w:type="dxa" w:w="7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imputacja (mediana / dominanta), standaryzacja (dla LR), kodowanie one-hot zmiennych kategorycznych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Porównanie modeli</w:t>
      </w:r>
    </w:p>
    <w:p>
      <w:pPr>
        <w:spacing w:after="120" w:line="276"/>
        <w:jc w:val="both"/>
      </w:pPr>
      <w:r>
        <w:t xml:space="preserve">Porównano </w:t>
      </w:r>
      <w:r>
        <w:rPr>
          <w:b/>
          <w:bCs/>
        </w:rPr>
        <w:t xml:space="preserve">regresję logistyczną</w:t>
      </w:r>
      <w:r>
        <w:t xml:space="preserve"> (model liniowy, w pełni interpretowalny) i </w:t>
      </w:r>
      <w:r>
        <w:rPr>
          <w:b/>
          <w:bCs/>
        </w:rPr>
        <w:t xml:space="preserve">Random Forest</w:t>
      </w:r>
      <w:r>
        <w:t xml:space="preserve"> (zespół 300 drzew decyzyjnych, uchwytuje nieliniowości i interakcje). Dodatkowo, jako punkt odniesienia, oceniono model </w:t>
      </w:r>
      <w:r>
        <w:rPr>
          <w:b/>
          <w:bCs/>
        </w:rPr>
        <w:t xml:space="preserve">XGBoost</w:t>
      </w:r>
      <w:r>
        <w:t xml:space="preserve"> z hiperparametrami dobranymi wcześniej metodą GridSearch. Każdy model oceniono 5-krotną walidacją krzyżową na zbiorze uczącym oraz na niezależnym zbiorze testowym.</w:t>
      </w:r>
    </w:p>
    <w:p>
      <w:pPr>
        <w:keepNext/>
        <w:spacing w:after="60" w:before="160"/>
      </w:pPr>
      <w:r>
        <w:rPr>
          <w:i/>
          <w:iCs/>
          <w:color w:val="555555"/>
          <w:sz w:val="18"/>
          <w:szCs w:val="18"/>
        </w:rPr>
        <w:t xml:space="preserve">Tabela 13. Metryki na zbiorze testowym (próg klasyfikacji 0,5)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7"/>
        <w:gridCol w:w="1036"/>
        <w:gridCol w:w="1140"/>
        <w:gridCol w:w="1036"/>
        <w:gridCol w:w="1036"/>
        <w:gridCol w:w="1036"/>
        <w:gridCol w:w="933"/>
        <w:gridCol w:w="934"/>
      </w:tblGrid>
      <w:tr>
        <w:trPr>
          <w:tblHeader/>
        </w:trPr>
        <w:tc>
          <w:tcPr>
            <w:tcW w:type="dxa" w:w="2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Model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ROC-AUC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ROC-AUC (CV)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PR-AUC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Precision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Recall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F1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Brier</w:t>
            </w:r>
          </w:p>
        </w:tc>
      </w:tr>
      <w:tr>
        <w:trPr>
          <w:cantSplit/>
        </w:trPr>
        <w:tc>
          <w:tcPr>
            <w:tcW w:type="dxa" w:w="2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Regresja logistyczna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0,866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0,866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0,707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0,742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0,502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0,599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0,107</w:t>
            </w:r>
          </w:p>
        </w:tc>
      </w:tr>
      <w:tr>
        <w:trPr>
          <w:cantSplit/>
        </w:trPr>
        <w:tc>
          <w:tcPr>
            <w:tcW w:type="dxa" w:w="2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0,923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0,923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0,860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0,924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0,655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0,767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0,070</w:t>
            </w:r>
          </w:p>
        </w:tc>
      </w:tr>
      <w:tr>
        <w:trPr>
          <w:cantSplit/>
        </w:trPr>
        <w:tc>
          <w:tcPr>
            <w:tcW w:type="dxa" w:w="2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XGBoost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0,928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0,933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0,867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0,939</w:t>
            </w:r>
          </w:p>
        </w:tc>
        <w:tc>
          <w:tcPr>
            <w:tcW w:type="dxa" w:w="1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0,677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0,787</w:t>
            </w:r>
          </w:p>
        </w:tc>
        <w:tc>
          <w:tcPr>
            <w:tcW w:type="dxa" w:w="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0,067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i/>
          <w:iCs/>
          <w:color w:val="555555"/>
          <w:sz w:val="18"/>
          <w:szCs w:val="18"/>
        </w:rPr>
        <w:t xml:space="preserve">Tabela 14. Metryki przy progu maksymalizującym F1 (próg wyznaczony w walidacji krzyżowej)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6"/>
        <w:gridCol w:w="857"/>
        <w:gridCol w:w="1071"/>
        <w:gridCol w:w="964"/>
        <w:gridCol w:w="857"/>
        <w:gridCol w:w="1178"/>
        <w:gridCol w:w="2355"/>
      </w:tblGrid>
      <w:tr>
        <w:trPr>
          <w:tblHeader/>
        </w:trPr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Model</w:t>
            </w:r>
          </w:p>
        </w:tc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Próg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Precision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Recall</w:t>
            </w:r>
          </w:p>
        </w:tc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F1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Specificity</w:t>
            </w:r>
          </w:p>
        </w:tc>
        <w:tc>
          <w:tcPr>
            <w:tcW w:type="dxa" w:w="2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Macierz pomyłek</w:t>
            </w:r>
          </w:p>
        </w:tc>
      </w:tr>
      <w:tr>
        <w:trPr>
          <w:cantSplit/>
        </w:trPr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Regresja logistyczna</w:t>
            </w:r>
          </w:p>
        </w:tc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0,31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0,598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0,686</w:t>
            </w:r>
          </w:p>
        </w:tc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0,639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0,871</w:t>
            </w:r>
          </w:p>
        </w:tc>
        <w:tc>
          <w:tcPr>
            <w:tcW w:type="dxa" w:w="2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TN 4410 · FP 654</w:t>
            </w:r>
          </w:p>
          <w:p>
            <w:r>
              <w:rPr>
                <w:sz w:val="19"/>
                <w:szCs w:val="19"/>
              </w:rPr>
              <w:t xml:space="preserve">FN 445 · TP 973</w:t>
            </w:r>
          </w:p>
        </w:tc>
      </w:tr>
      <w:tr>
        <w:trPr>
          <w:cantSplit/>
        </w:trPr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0,43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0,894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0,685</w:t>
            </w:r>
          </w:p>
        </w:tc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0,776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0,977</w:t>
            </w:r>
          </w:p>
        </w:tc>
        <w:tc>
          <w:tcPr>
            <w:tcW w:type="dxa" w:w="2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TN 4949 · FP 115</w:t>
            </w:r>
          </w:p>
          <w:p>
            <w:r>
              <w:rPr>
                <w:sz w:val="19"/>
                <w:szCs w:val="19"/>
              </w:rPr>
              <w:t xml:space="preserve">FN 446 · TP 972</w:t>
            </w:r>
          </w:p>
        </w:tc>
      </w:tr>
      <w:tr>
        <w:trPr>
          <w:cantSplit/>
        </w:trPr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XGBoost</w:t>
            </w:r>
          </w:p>
        </w:tc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0,44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0,914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0,694</w:t>
            </w:r>
          </w:p>
        </w:tc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0,789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0,982</w:t>
            </w:r>
          </w:p>
        </w:tc>
        <w:tc>
          <w:tcPr>
            <w:tcW w:type="dxa" w:w="2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TN 4972 · FP 92</w:t>
            </w:r>
          </w:p>
          <w:p>
            <w:r>
              <w:rPr>
                <w:sz w:val="19"/>
                <w:szCs w:val="19"/>
              </w:rPr>
              <w:t xml:space="preserve">FN 434 · TP 984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2562225"/>
            <wp:effectExtent t="0" r="0" b="0" l="0"/>
            <wp:docPr id="8" name="roc.png" descr="Krzywe ROC i Precision–Recall porównywanych modeli" title="Krzywe ROC i Precision–Recall porównywanych mode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Rys. 8. Krzywe ROC i Precision–Recall porównywanych modeli</w:t>
      </w:r>
    </w:p>
    <w:p>
      <w:pPr>
        <w:spacing w:after="120" w:line="276"/>
        <w:jc w:val="both"/>
      </w:pPr>
      <w:r>
        <w:rPr>
          <w:b/>
          <w:bCs/>
        </w:rPr>
        <w:t xml:space="preserve">Interpretacja metryk.</w:t>
      </w:r>
      <w:r>
        <w:t xml:space="preserve"> </w:t>
      </w:r>
      <w:r>
        <w:rPr>
          <w:i/>
          <w:iCs/>
        </w:rPr>
        <w:t xml:space="preserve">Precision</w:t>
      </w:r>
      <w:r>
        <w:t xml:space="preserve"> mówi, jaka część klientów wskazanych jako ryzykowni rzeczywiście nie spłaciła kredytu – niska precyzja oznacza odrzucanie dobrych klientów i utracony przychód. </w:t>
      </w:r>
      <w:r>
        <w:rPr>
          <w:i/>
          <w:iCs/>
        </w:rPr>
        <w:t xml:space="preserve">Recall</w:t>
      </w:r>
      <w:r>
        <w:t xml:space="preserve"> mówi, jaką część faktycznie niewypłacalnych klientów model wychwycił – niski recall oznacza udzielanie kredytów, które nie zostaną spłacone (strata kapitału). </w:t>
      </w:r>
      <w:r>
        <w:rPr>
          <w:i/>
          <w:iCs/>
        </w:rPr>
        <w:t xml:space="preserve">ROC-AUC</w:t>
      </w:r>
      <w:r>
        <w:t xml:space="preserve"> mierzy zdolność rozróżniania klientów niezależnie od progu.</w:t>
      </w:r>
    </w:p>
    <w:p>
      <w:pPr>
        <w:spacing w:after="120" w:line="276"/>
        <w:jc w:val="both"/>
      </w:pPr>
      <w:r>
        <w:rPr>
          <w:b/>
          <w:bCs/>
        </w:rPr>
        <w:t xml:space="preserve">Wnioski.</w:t>
      </w:r>
      <w:r>
        <w:t xml:space="preserve"> Random Forest osiąga istotnie wyższą jakość niż regresja logistyczna (ROC-AUC 0,923 vs 0,866, PR-AUC 0,860 vs 0,707), przy znacznie wyższej precyzji. Wynika to z nieliniowego charakteru ryzyka – np. wysoki stosunek kwoty do dochodu jest szczególnie groźny u osób wynajmujących mieszkanie. Regresja logistyczna pozostaje cenna jako model referencyjny (challenger) i łatwy do wytłumaczenia nadzorowi. Wyniki walidacji krzyżowej są zbliżone do testowych, co świadczy o braku przeuczenia. </w:t>
      </w:r>
      <w:r>
        <w:rPr>
          <w:b/>
          <w:bCs/>
        </w:rPr>
        <w:t xml:space="preserve">Jako model produkcyjny wybrano Random Forest</w:t>
      </w:r>
      <w:r>
        <w:t xml:space="preserve"> (XGBoost daje porównywalny wynik; wybór może zmienić administrator). Próg 0,5 daje wysoką precyzję kosztem recall – dlatego w polityce decyzyjnej zastosowano niższy próg 15% kierujący wnioski do weryfikacji analityka.</w:t>
      </w:r>
    </w:p>
    <w:p>
      <w:pPr>
        <w:pStyle w:val="Heading3"/>
      </w:pPr>
      <w:r>
        <w:t xml:space="preserve">Wyjaśnianie wyników</w:t>
      </w:r>
    </w:p>
    <w:p>
      <w:pPr>
        <w:spacing w:after="120" w:line="276"/>
        <w:jc w:val="both"/>
      </w:pPr>
      <w:r>
        <w:rPr>
          <w:b/>
          <w:bCs/>
        </w:rPr>
        <w:t xml:space="preserve">Wyjaśnienie globalne</w:t>
      </w:r>
      <w:r>
        <w:t xml:space="preserve"> – permutacyjna ważność cech: o ile spada ROC-AUC na zbiorze testowym po losowym wymieszaniu wartości danej cechy. Najważniejsze czynniki to dochód, kwota kredytu (oraz jej relacja do dochodu), oprocentowanie i status mieszkaniowy. Dla regresji logistycznej dodatkowo prezentowane są współczynniki i ilorazy szans.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2847975"/>
            <wp:effectExtent t="0" r="0" b="0" l="0"/>
            <wp:docPr id="9" name="importance.png" descr="Globalna (permutacyjna) ważność czynników dla trzech modeli" title="Globalna (permutacyjna) ważność czynników dla trzech mode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Rys. 9. Globalna (permutacyjna) ważność czynników dla trzech modeli</w:t>
      </w:r>
    </w:p>
    <w:p>
      <w:pPr>
        <w:spacing w:after="120" w:line="276"/>
        <w:jc w:val="both"/>
      </w:pPr>
      <w:r>
        <w:rPr>
          <w:b/>
          <w:bCs/>
        </w:rPr>
        <w:t xml:space="preserve">Wyjaśnienie lokalne (dla pojedynczego wniosku)</w:t>
      </w:r>
      <w:r>
        <w:t xml:space="preserve"> – dla każdej danej wejściowej system oblicza, o ile punktów procentowych zmieniłoby się PD klienta, gdyby w tej cesze miał wartość typową dla portfela (medianę lub dominantę ze zbioru uczącego), przy pozostałych danych bez zmian. Dodatni wpływ (czerwony) oznacza, że cecha zwiększa ryzyko; ujemny (zielony) – że je zmniejsza. Metoda działa jednakowo dla każdego modelu i jest zrozumiała dla doradcy i klienta.</w:t>
      </w:r>
    </w:p>
    <w:p>
      <w:pPr>
        <w:pStyle w:val="Heading1"/>
        <w:pageBreakBefore/>
      </w:pPr>
      <w:r>
        <w:t xml:space="preserve">8. Działająca aplikacja (prototyp)</w:t>
      </w:r>
    </w:p>
    <w:p>
      <w:pPr>
        <w:pStyle w:val="Heading2"/>
      </w:pPr>
      <w:r>
        <w:t xml:space="preserve">8.1. Technologie i struktura</w:t>
      </w:r>
    </w:p>
    <w:p>
      <w:pPr>
        <w:keepNext/>
        <w:spacing w:after="60" w:before="160"/>
      </w:pPr>
      <w:r>
        <w:rPr>
          <w:i/>
          <w:iCs/>
          <w:color w:val="555555"/>
          <w:sz w:val="18"/>
          <w:szCs w:val="18"/>
        </w:rPr>
        <w:t xml:space="preserve">Tabela 15. Struktura projektu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5"/>
        <w:gridCol w:w="7333"/>
      </w:tblGrid>
      <w:tr>
        <w:trPr>
          <w:tblHeader/>
        </w:trPr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Element</w:t>
            </w:r>
          </w:p>
        </w:tc>
        <w:tc>
          <w:tcPr>
            <w:tcW w:type="dxa" w:w="7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Rozwiązanie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Język i biblioteki</w:t>
            </w:r>
          </w:p>
        </w:tc>
        <w:tc>
          <w:tcPr>
            <w:tcW w:type="dxa" w:w="7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Python 3.10+, Streamlit (interfejs), scikit-learn (LR, Random Forest), XGBoost (opcjonalnie), pandas, Altair (wykresy)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Baza danych</w:t>
            </w:r>
          </w:p>
        </w:tc>
        <w:tc>
          <w:tcPr>
            <w:tcW w:type="dxa" w:w="7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SQLite – plik data/kredyty.db, tworzony automatycznie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main.py</w:t>
            </w:r>
          </w:p>
        </w:tc>
        <w:tc>
          <w:tcPr>
            <w:tcW w:type="dxa" w:w="7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punkt startowy: logowanie, menu zależne od roli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views/</w:t>
            </w:r>
          </w:p>
        </w:tc>
        <w:tc>
          <w:tcPr>
            <w:tcW w:type="dxa" w:w="7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ekrany: pulpit, nowy wniosek, rejestr wniosków, raporty, modele i metryki, administracja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src/</w:t>
            </w:r>
          </w:p>
        </w:tc>
        <w:tc>
          <w:tcPr>
            <w:tcW w:type="dxa" w:w="7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features.py (cechy), training.py (trening, metryki), scoring.py (PD, polityka, wyjaśnienia), auth.py (role, hasła), db.py (baza), ui.py (komponenty, karta oceny)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train_models.py</w:t>
            </w:r>
          </w:p>
        </w:tc>
        <w:tc>
          <w:tcPr>
            <w:tcW w:type="dxa" w:w="7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trening i porównanie modeli z wiersza poleceń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seed_demo.py</w:t>
            </w:r>
          </w:p>
        </w:tc>
        <w:tc>
          <w:tcPr>
            <w:tcW w:type="dxa" w:w="7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wypełnienie bazy przykładowymi wnioskami do prezentacji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trening_modelu.ipynb</w:t>
            </w:r>
          </w:p>
        </w:tc>
        <w:tc>
          <w:tcPr>
            <w:tcW w:type="dxa" w:w="7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notatnik z analizą eksploracyjną danych i strojeniem XGBoost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8.2. Uruchomienie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Zainstaluj zależności: </w:t>
      </w:r>
      <w:r>
        <w:rPr>
          <w:b/>
          <w:bCs/>
        </w:rPr>
        <w:t xml:space="preserve">pip install -r requirements.txt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(opcjonalnie) wytrenuj modele: </w:t>
      </w:r>
      <w:r>
        <w:rPr>
          <w:b/>
          <w:bCs/>
        </w:rPr>
        <w:t xml:space="preserve">python train_models.py</w:t>
      </w:r>
      <w:r>
        <w:t xml:space="preserve"> – przy pierwszym uruchomieniu aplikacji dzieje się to automatycznie (ok. 1 min),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(opcjonalnie) dodaj przykładowe wnioski: </w:t>
      </w:r>
      <w:r>
        <w:rPr>
          <w:b/>
          <w:bCs/>
        </w:rPr>
        <w:t xml:space="preserve">python seed_demo.py 40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Uruchom aplikację: </w:t>
      </w:r>
      <w:r>
        <w:rPr>
          <w:b/>
          <w:bCs/>
        </w:rPr>
        <w:t xml:space="preserve">streamlit run main.py</w:t>
      </w:r>
      <w:r>
        <w:t xml:space="preserve"> i otwórz w przeglądarce adres http://localhost:8501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Zaloguj się kontem demonstracyjnym: doradca/doradca123, analityk/analityk123, kierownik/kierownik123, admin/admin123.</w:t>
      </w:r>
    </w:p>
    <w:p>
      <w:pPr>
        <w:pStyle w:val="Heading2"/>
      </w:pPr>
      <w:r>
        <w:t xml:space="preserve">8.3. Wybrane ekrany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857500"/>
            <wp:effectExtent t="0" r="0" b="0" l="0"/>
            <wp:docPr id="10" name="app_login.png" descr="Ekran logowania z kontami demonstracyjnymi" title="Ekran logowania z kontami demonstracyjny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Rys. 10. Ekran logowania z kontami demonstracyjnymi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7200900"/>
            <wp:effectExtent t="0" r="0" b="0" l="0"/>
            <wp:docPr id="11" name="app_new_c.png" descr="Rejestracja wniosku przez doradcę i wynik oceny z wyjaśnieniem czynników" title="Rejestracja wniosku przez doradcę i wynik oceny z wyjaśnieniem czynnikó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Rys. 11. Rejestracja wniosku przez doradcę i wynik oceny z wyjaśnieniem czynników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200525"/>
            <wp:effectExtent t="0" r="0" b="0" l="0"/>
            <wp:docPr id="12" name="reg_list.png" descr="Rejestr wniosków (widok analityka)" title="Rejestr wniosków (widok analityk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Rys. 12. Rejestr wniosków (widok analityka)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7410450"/>
            <wp:effectExtent t="0" r="0" b="0" l="0"/>
            <wp:docPr id="13" name="reg_detail.png" descr="Szczegóły wniosku i panel decyzji kredytowej" title="Szczegóły wniosku i panel decyzji kredytowe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1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Rys. 13. Szczegóły wniosku i panel decyzji kredytowej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57700" cy="7620000"/>
            <wp:effectExtent t="0" r="0" b="0" l="0"/>
            <wp:docPr id="14" name="app_models_c.png" descr="Ekran porównania modeli – metryki, krzywe ROC/PR, macierze pomyłek, ważność cech" title="Ekran porównania modeli – metryki, krzywe ROC/PR, macierze pomyłek, ważność c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Rys. 14. Ekran porównania modeli – metryki, krzywe ROC/PR, macierze pomyłek, ważność cech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5572125"/>
            <wp:effectExtent t="0" r="0" b="0" l="0"/>
            <wp:docPr id="15" name="app_reports_c.png" descr="Raport portfela wniosków" title="Raport portfela wnioskó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Rys. 15. Raport portfela wniosków</w:t>
      </w:r>
    </w:p>
    <w:p>
      <w:pPr>
        <w:pStyle w:val="Heading1"/>
        <w:pageBreakBefore/>
      </w:pPr>
      <w:r>
        <w:t xml:space="preserve">9. Podsumowanie i kierunki rozwoju</w:t>
      </w:r>
    </w:p>
    <w:p>
      <w:pPr>
        <w:spacing w:after="120" w:line="276"/>
        <w:jc w:val="both"/>
      </w:pPr>
      <w:r>
        <w:t xml:space="preserve">Zaprojektowany system SORK porządkuje proces rozpatrywania wniosków o kredyt konsumpcyjny w Banku Spółdzielczym w Nowym Mieście: zapewnia jednolitą, mierzalną ocenę ryzyka, wyjaśnienie każdej oceny, kontrolę uprawnień i pełną ewidencję decyzji. Porównanie modeli wykazało przewagę metod zespołowych (Random Forest, XGBoost) nad regresją logistyczną pod względem ROC-AUC, PR-AUC i precyzji, przy zachowaniu regresji logistycznej jako interpretowalnego modelu referencyjnego. Prototyp realizuje wszystkie wymagania o priorytecie M i S.</w:t>
      </w:r>
    </w:p>
    <w:p>
      <w:pPr>
        <w:spacing w:after="120" w:line="276"/>
        <w:jc w:val="both"/>
      </w:pPr>
      <w:r>
        <w:t xml:space="preserve">Kierunki dalszego rozwoju: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integracja z API BIK i systemem core-banking (WF-24, WF-25),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przetrenowanie i walidacja modelu na danych historycznych Banku (w PLN), kalibracja PD,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monitoring modelu w czasie (PSI, porównanie PD z rzeczywistą szkodowością) i alerty o dryfie danych,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wyjaśnienia oparte na wartościach SHAP, analiza sprawiedliwości (fairness) względem wieku,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migracja do bazy PostgreSQL, logowanie przez Active Directory, wdrożenie w kontenerze z HTTPS.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SORK – System Oceny Ryzyka Kredytowego · dokumentacja projektu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2F5597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F5597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1d1260631220b4c1f78bce00d068ea2101713ccd.png"/><Relationship Id="rId10" Type="http://schemas.openxmlformats.org/officeDocument/2006/relationships/image" Target="media/b445b09c88cd64d3960bb9c4ba13b15171a10a54.png"/><Relationship Id="rId11" Type="http://schemas.openxmlformats.org/officeDocument/2006/relationships/image" Target="media/bf91080727f86a4cf89dcfb78ab5091e151386a2.png"/><Relationship Id="rId12" Type="http://schemas.openxmlformats.org/officeDocument/2006/relationships/image" Target="media/5ae4e8f77147873582712bba79f0ff36e36e8ef9.png"/><Relationship Id="rId13" Type="http://schemas.openxmlformats.org/officeDocument/2006/relationships/image" Target="media/20464ce8b9ce09aceefdf9906c8df82e61df00aa.png"/><Relationship Id="rId14" Type="http://schemas.openxmlformats.org/officeDocument/2006/relationships/image" Target="media/7a8d4c37d056c97f9e2b05bc019a3f2323c5bf84.png"/><Relationship Id="rId15" Type="http://schemas.openxmlformats.org/officeDocument/2006/relationships/image" Target="media/675425cb7d7fcb30b429c7876fe86c4265dca507.png"/><Relationship Id="rId16" Type="http://schemas.openxmlformats.org/officeDocument/2006/relationships/image" Target="media/a0208132f26f08b954f2287292a57e966872874e.png"/><Relationship Id="rId17" Type="http://schemas.openxmlformats.org/officeDocument/2006/relationships/image" Target="media/3bf230a4587e09a532fcc9956871870007e5f4ba.png"/><Relationship Id="rId18" Type="http://schemas.openxmlformats.org/officeDocument/2006/relationships/image" Target="media/4b91aa328f1028cf511e2a4b9ff4e7edaf8a7d71.png"/><Relationship Id="rId19" Type="http://schemas.openxmlformats.org/officeDocument/2006/relationships/image" Target="media/f2a938c2b8058b1409fd3e0f68bf221fe0a5855b.png"/><Relationship Id="rId20" Type="http://schemas.openxmlformats.org/officeDocument/2006/relationships/image" Target="media/5a8cdfe7e6c2d4a9f3f5264dd6f1ea64f866cde3.png"/><Relationship Id="rId21" Type="http://schemas.openxmlformats.org/officeDocument/2006/relationships/image" Target="media/3f7c3efb9b82546733559c3ff2a6bb8e933125d8.png"/><Relationship Id="rId22" Type="http://schemas.openxmlformats.org/officeDocument/2006/relationships/image" Target="media/3223a1b4c71a6182cc6431b66981149ba026802c.png"/><Relationship Id="rId23" Type="http://schemas.openxmlformats.org/officeDocument/2006/relationships/image" Target="media/575ccc55c57a63e6a91b962495cb9dfe114cc93e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Oceny Ryzyka Kredytowego – dokumentacja projektu</dc:title>
  <dc:creator>Mateusz</dc:creator>
  <cp:lastModifiedBy>Un-named</cp:lastModifiedBy>
  <cp:revision>1</cp:revision>
  <dcterms:created xsi:type="dcterms:W3CDTF">2026-10-23T06:50:38.949Z</dcterms:created>
  <dcterms:modified xsi:type="dcterms:W3CDTF">2026-10-23T06:50:38.954Z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