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pdf" ContentType="application/pdf"/>
  <Override PartName="/word/media/rId24.pdf" ContentType="application/pdf"/>
  <Override PartName="/word/media/rId27.pdf" ContentType="application/pdf"/>
  <Override PartName="/word/media/rId30.pdf" ContentType="application/pdf"/>
  <Override PartName="/word/media/rId33.pdf" ContentType="application/pdf"/>
  <Override PartName="/word/media/image4.emf" ContentType="image/x-emf"/>
  <Override PartName="/word/media/image3.emf" ContentType="image/x-emf"/>
  <Override PartName="/word/media/image2.emf" ContentType="image/x-emf"/>
  <Override PartName="/word/media/image1.emf" ContentType="image/x-emf"/>
  <Override PartName="/word/media/image6.png" ContentType="image/png"/>
  <Override PartName="/word/media/image7.png" ContentType="image/png"/>
  <Override PartName="/word/media/image5.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 xml:space="preserve">Article</w:t>
      </w:r>
    </w:p>
    <w:p>
      <w:pPr>
        <w:pStyle w:val="MDPI12title"/>
      </w:pPr>
      <w:r>
        <w:t xml:space="preserve">BAND: A Unified Probabilistic Framework for Non-Stationary Heart Rate Variability Analysis.</w:t>
      </w:r>
    </w:p>
    <w:p>
      <w:pPr>
        <w:pStyle w:val="MDPI13authornames"/>
      </w:pPr>
      <w:r>
        <w:t xml:space="preserve">Matías Castillo-Aguilar</w:t>
      </w:r>
      <w:r>
        <w:rPr>
          <w:vertAlign w:val="superscript"/>
        </w:rPr>
        <w:t xml:space="preserve">1,2</w:t>
      </w:r>
      <w:r>
        <w:t xml:space="preserve">, David Medina-Ortiz</w:t>
      </w:r>
      <w:r>
        <w:rPr>
          <w:vertAlign w:val="superscript"/>
        </w:rPr>
        <w:t xml:space="preserve">3,4</w:t>
      </w:r>
      <w:r>
        <w:t xml:space="preserve">, Ruby Méndez Muñoz</w:t>
      </w:r>
      <w:r>
        <w:rPr>
          <w:vertAlign w:val="superscript"/>
        </w:rPr>
        <w:t xml:space="preserve">1,2</w:t>
      </w:r>
      <w:r>
        <w:t xml:space="preserve">, Diego Mabe-Castro</w:t>
      </w:r>
      <w:r>
        <w:rPr>
          <w:vertAlign w:val="superscript"/>
        </w:rPr>
        <w:t xml:space="preserve">1,2</w:t>
      </w:r>
      <w:r>
        <w:t xml:space="preserve">, Noah Beelders</w:t>
      </w:r>
      <w:r>
        <w:rPr>
          <w:vertAlign w:val="superscript"/>
        </w:rPr>
        <w:t xml:space="preserve">5</w:t>
      </w:r>
      <w:r>
        <w:t xml:space="preserve">, Atenea Uribe-Ojeda</w:t>
      </w:r>
      <w:r>
        <w:rPr>
          <w:vertAlign w:val="superscript"/>
        </w:rPr>
        <w:t xml:space="preserve">1,2</w:t>
      </w:r>
      <w:r>
        <w:t xml:space="preserve">, Marcelo A. Navarrete</w:t>
      </w:r>
      <w:r>
        <w:rPr>
          <w:vertAlign w:val="superscript"/>
        </w:rPr>
        <w:t xml:space="preserve">1,2</w:t>
      </w:r>
      <w:r>
        <w:t xml:space="preserve"> </w:t>
      </w:r>
      <w:r>
        <w:t xml:space="preserve">and Cristian Núñez-Espinosa</w:t>
      </w:r>
      <w:r>
        <w:rPr>
          <w:vertAlign w:val="superscript"/>
        </w:rPr>
        <w:t xml:space="preserve">1,2</w:t>
      </w:r>
      <w:r>
        <w:t xml:space="preserve">*.</w:t>
      </w:r>
    </w:p>
    <w:p>
      <w:pPr>
        <w:pStyle w:val="MDPI16affiliation"/>
      </w:pPr>
      <w:r>
        <w:rPr>
          <w:vertAlign w:val="superscript"/>
        </w:rPr>
        <w:t xml:space="preserve">1</w:t>
      </w:r>
      <w:r>
        <w:t xml:space="preserve"> </w:t>
      </w:r>
      <w:r>
        <w:t xml:space="preserve">Centro Asistencial Docente y de Investigación (CADI-UMAG), Punta Arenas, Chile.</w:t>
      </w:r>
    </w:p>
    <w:p>
      <w:pPr>
        <w:pStyle w:val="MDPI16affiliation"/>
      </w:pPr>
      <w:r>
        <w:rPr>
          <w:vertAlign w:val="superscript"/>
        </w:rPr>
        <w:t xml:space="preserve">2</w:t>
      </w:r>
      <w:r>
        <w:t xml:space="preserve"> </w:t>
      </w:r>
      <w:r>
        <w:t xml:space="preserve">Escuela de Medicina, Universidad de Magallanes (UMAG), Punta Arenas, Chile.</w:t>
      </w:r>
    </w:p>
    <w:p>
      <w:pPr>
        <w:pStyle w:val="MDPI16affiliation"/>
      </w:pPr>
      <w:r>
        <w:rPr>
          <w:vertAlign w:val="superscript"/>
        </w:rPr>
        <w:t xml:space="preserve">3</w:t>
      </w:r>
      <w:r>
        <w:t xml:space="preserve"> </w:t>
      </w:r>
      <w:r>
        <w:t xml:space="preserve">Departamento de Ingeniería en Computación, Universidad de Magallanes, Punta Arenas, Chile.</w:t>
      </w:r>
    </w:p>
    <w:p>
      <w:pPr>
        <w:pStyle w:val="MDPI16affiliation"/>
      </w:pPr>
      <w:r>
        <w:rPr>
          <w:vertAlign w:val="superscript"/>
        </w:rPr>
        <w:t xml:space="preserve">4</w:t>
      </w:r>
      <w:r>
        <w:t xml:space="preserve"> </w:t>
      </w:r>
      <w:r>
        <w:t xml:space="preserve">Centre for Biotechnology and Bioengineering, CeBiB, Universidad de Chile, Santiago, Chile.</w:t>
      </w:r>
    </w:p>
    <w:p>
      <w:pPr>
        <w:pStyle w:val="MDPI16affiliation"/>
      </w:pPr>
      <w:r>
        <w:rPr>
          <w:vertAlign w:val="superscript"/>
        </w:rPr>
        <w:t xml:space="preserve">5</w:t>
      </w:r>
      <w:r>
        <w:t xml:space="preserve"> </w:t>
      </w:r>
      <w:r>
        <w:t xml:space="preserve">Department of Mathematics, University of Munich, Theresienstraße 39, 80333 Munich, Germany.</w:t>
      </w:r>
    </w:p>
    <w:p>
      <w:pPr>
        <w:pStyle w:val="MDPI16affiliation"/>
      </w:pPr>
      <w:r>
        <w:t xml:space="preserve">* Correspondence: Cristian Núñez-Espinosa, Escuela de Medicina, Universidad de Magallanes, Punta Arenas, Chile. Centro Asistencial de Docencia e Investigación CADI-UMAG, Chile. e-mail:</w:t>
      </w:r>
      <w:r>
        <w:t xml:space="preserve"> </w:t>
      </w:r>
      <w:hyperlink r:id="rId20">
        <w:r>
          <w:rPr>
            <w:rStyle w:val="Hipervnculo"/>
          </w:rPr>
          <w:t xml:space="preserve">cristian.nunez@umag.cl</w:t>
        </w:r>
      </w:hyperlink>
      <w:r>
        <w:t xml:space="preserve">. Address: Avenida Bulnes 01855, Box 113-D. Phone: +56 61 2201411.</w:t>
      </w:r>
    </w:p>
    <w:p>
      <w:pPr>
        <w:pStyle w:val="MDPI17abstract"/>
      </w:pPr>
      <w:r>
        <w:rPr>
          <w:b/>
          <w:bCs/>
        </w:rPr>
        <w:t xml:space="preserve">Abstract</w:t>
      </w:r>
    </w:p>
    <w:p>
      <w:pPr>
        <w:pStyle w:val="MDPI17abstrac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probabilistic framework for modeling non-stationary HRV dynamics during transient, single-event perturbation-recovery paradigms.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show that the model achieves high-fidelity parameter recovery and describes these dynamics more accurately than conventional fixed-time window methods under conditions matching its own generative assumptions. We then apply the framework to an empirical exercise-recovery recording, generating a precise, falsifiable hypothesis of</w:t>
      </w:r>
      <w:r>
        <w:t xml:space="preserve"> </w:t>
      </w:r>
      <w:r>
        <w:t xml:space="preserve">“dissonant autonomic recovery”</w:t>
      </w:r>
      <w:r>
        <w:t xml:space="preserve">, where the baseline RR interval and its variability recover to distinct extents. The Biphasic Autonomic Non-stationary Decomposition (BAND) framework provides a formal methodology for translating RRi time series into quantitative, testable estimates of their generative processes.</w:t>
      </w:r>
    </w:p>
    <w:p>
      <w:pPr>
        <w:pStyle w:val="MDPI18keywords"/>
      </w:pPr>
      <w:r>
        <w:rPr>
          <w:b/>
          <w:bCs/>
        </w:rPr>
        <w:t xml:space="preserve">Keywords</w:t>
      </w:r>
      <w:r>
        <w:t xml:space="preserve">: heart rate variability; autonomic nervous system; nonlinear dynamics; signal processing; exercise</w:t>
      </w:r>
    </w:p>
    <w:p>
      <w:r>
        <w:br w:type="page"/>
      </w:r>
    </w:p>
    <w:p>
      <w:pPr>
        <w:pStyle w:val="MDPI21heading1"/>
      </w:pPr>
      <w:r>
        <w:t xml:space="preserve">1. Introduction</w:t>
      </w:r>
    </w:p>
    <w:p>
      <w:pPr>
        <w:pStyle w:val="MDPI31text"/>
      </w:pPr>
      <w:r>
        <w:t xml:space="preserve">A major goal of contemporary biomedical science is to mechanistically connect the dynamic behavior of physiological systems to outcomes in human health and disease. The primary obstacle to this goal is the inferential gap between what can be measured with high-temporal resolution via wearable sensors and the underlying neurobiological processes that generate these measurements</w:t>
      </w:r>
      <w:r>
        <w:t xml:space="preserve"> </w:t>
      </w:r>
      <w:r>
        <w:t xml:space="preserve">[1]</w:t>
      </w:r>
      <w:r>
        <w:t xml:space="preserve">. This</w:t>
      </w:r>
      <w:r>
        <w:t xml:space="preserve"> </w:t>
      </w:r>
      <w:r>
        <w:rPr>
          <w:i/>
          <w:iCs/>
        </w:rPr>
        <w:t xml:space="preserve">inverse problem</w:t>
      </w:r>
      <w:r>
        <w:t xml:space="preserve"> </w:t>
      </w:r>
      <w:r>
        <w:t xml:space="preserve">is particularly evident in the study of the autonomic nervous system (ANS), where heart rate variability (HRV) has become the dominant non-invasive marker</w:t>
      </w:r>
      <w:r>
        <w:t xml:space="preserve"> </w:t>
      </w:r>
      <w:r>
        <w:t xml:space="preserve">[2–4]</w:t>
      </w:r>
      <w:r>
        <w:t xml:space="preserve">. The R-R interval (RRi) time-series is a highly informative signal, yet it presents a substantial analytical challenge, as it reflects the integrated and dynamic interplay of multiple regulatory systems</w:t>
      </w:r>
      <w:r>
        <w:t xml:space="preserve"> </w:t>
      </w:r>
      <w:r>
        <w:t xml:space="preserve">[5]</w:t>
      </w:r>
      <w:r>
        <w:t xml:space="preserve">.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w:t>
      </w:r>
      <w:r>
        <w:t xml:space="preserve"> </w:t>
      </w:r>
      <w:r>
        <w:t xml:space="preserve">[6,7]</w:t>
      </w:r>
      <w:r>
        <w:t xml:space="preserve"> </w:t>
      </w:r>
      <w:r>
        <w:t xml:space="preserve">to anxiety and post-traumatic stress</w:t>
      </w:r>
      <w:r>
        <w:t xml:space="preserve"> </w:t>
      </w:r>
      <w:r>
        <w:t xml:space="preserve">[8–10]</w:t>
      </w:r>
      <w:r>
        <w:t xml:space="preserve">, where precise characterization of system dynamics is essential for diagnosis and treatment.</w:t>
      </w:r>
    </w:p>
    <w:p>
      <w:pPr>
        <w:pStyle w:val="MDPI31text"/>
      </w:pPr>
      <w:r>
        <w:t xml:space="preserve">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w:t>
      </w:r>
      <w:r>
        <w:t xml:space="preserve"> </w:t>
      </w:r>
      <w:r>
        <w:t xml:space="preserve">[11,12]</w:t>
      </w:r>
      <w:r>
        <w:t xml:space="preserve">.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w:t>
      </w:r>
      <w:r>
        <w:t xml:space="preserve"> </w:t>
      </w:r>
      <w:r>
        <w:t xml:space="preserve">[11,12]</w:t>
      </w:r>
      <w:r>
        <w:t xml:space="preserve">.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w:t>
      </w:r>
      <w:r>
        <w:t xml:space="preserve"> </w:t>
      </w:r>
      <w:r>
        <w:t xml:space="preserve">[13]</w:t>
      </w:r>
      <w:r>
        <w:t xml:space="preserve">. As a result, the</w:t>
      </w:r>
      <w:r>
        <w:t xml:space="preserve"> </w:t>
      </w:r>
      <w:r>
        <w:t xml:space="preserve">“discretize-and-summarize”</w:t>
      </w:r>
      <w:r>
        <w:t xml:space="preserve"> </w:t>
      </w:r>
      <w:r>
        <w:t xml:space="preserve">approach discards the temporal structure of the data and precludes direct estimation of core mechanistic properties such as response latencies, rates of change, and adaptive magnitudes, which represent the essential features that define the physiological process</w:t>
      </w:r>
      <w:r>
        <w:t xml:space="preserve"> </w:t>
      </w:r>
      <w:r>
        <w:t xml:space="preserve">[14]</w:t>
      </w:r>
      <w:r>
        <w:t xml:space="preserve">.</w:t>
      </w:r>
    </w:p>
    <w:p>
      <w:pPr>
        <w:pStyle w:val="MDPI31text"/>
      </w:pPr>
      <w:r>
        <w:t xml:space="preserve">More sophisticated approaches have been proposed, but a substantial gap remains in methods that combine explicit non-stationary modeling with a structure suited to parameterizing discrete, transient physiological events. Time–frequency decompositions such as the wavelet transform provide detailed visualizations of spectral dynamics, making them valuable for exploratory analysis</w:t>
      </w:r>
      <w:r>
        <w:t xml:space="preserve"> </w:t>
      </w:r>
      <w:r>
        <w:t xml:space="preserve">[15]</w:t>
      </w:r>
      <w:r>
        <w:t xml:space="preserve">. Yet they remain fundamentally descriptive, unable to instantiate a generative model of the underlying biology. These methods can demonstrate that a change has occurred, yet they are unable to provide a parameterized and testable explanation of the underlying nature of that change</w:t>
      </w:r>
      <w:r>
        <w:t xml:space="preserve"> </w:t>
      </w:r>
      <w:r>
        <w:t xml:space="preserve">[16]</w:t>
      </w:r>
      <w:r>
        <w:t xml:space="preserve">. Modeling traditions like state-space models (SSMs) offer mathematical sophistication for tracking and forecasting system evolution</w:t>
      </w:r>
      <w:r>
        <w:t xml:space="preserve"> </w:t>
      </w:r>
      <w:r>
        <w:t xml:space="preserve">[17,18]</w:t>
      </w:r>
      <w:r>
        <w:t xml:space="preserve">. While powerful, these models frequently sacrifice physiological fidelity for mathematical convenience, as their latent states are often defined by statistical rather than biological properties</w:t>
      </w:r>
      <w:r>
        <w:t xml:space="preserve"> </w:t>
      </w:r>
      <w:r>
        <w:t xml:space="preserve">[18,19]</w:t>
      </w:r>
      <w:r>
        <w:t xml:space="preserve">. A further body of work, including point-process models of heartbeat timing and time-varying autoregressive (TVAR) spectral estimators, occupies an intermediate position: these approaches explicitly accommodate non-stationarity and, in some formulations, retain a link to physiological interpretation, but they are not typically structured to parameterize the discrete onset-and-recovery phases of a single, transient perturbation</w:t>
      </w:r>
      <w:r>
        <w:t xml:space="preserve"> </w:t>
      </w:r>
      <w:r>
        <w:t xml:space="preserve">[20,21]</w:t>
      </w:r>
      <w:r>
        <w:t xml:space="preserve">. Even in these tailored applications, none of the above traditions are explicitly structured to parameterize the discrete phases of physiological events, such as onset rate, recovery latency, or adaptive magnitude in response to stress</w:t>
      </w:r>
      <w:r>
        <w:t xml:space="preserve"> </w:t>
      </w:r>
      <w:r>
        <w:t xml:space="preserve">[18,19]</w:t>
      </w:r>
      <w:r>
        <w:t xml:space="preserve">. The field thus remains only partially served by these tools, which variously trade off non-stationary flexibility, physiological interpretability, and explicit event-level parameterization, rather than offering all three simultaneously.</w:t>
      </w:r>
    </w:p>
    <w:p>
      <w:pPr>
        <w:pStyle w:val="MDPI31text"/>
      </w:pPr>
      <w:r>
        <w:t xml:space="preserve">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process. Specifically, we employ a double-logistic function as a parsimonious hypothesis for biphasic dynamics, capturing the characteristic onset and recovery phases</w:t>
      </w:r>
      <w:r>
        <w:t xml:space="preserve"> </w:t>
      </w:r>
      <w:r>
        <w:t xml:space="preserve">[22]</w:t>
      </w:r>
      <w:r>
        <w:t xml:space="preserve">. This representation translates raw signals into a small set of interpretable parameters, including the latency, rate, and magnitude of each phase, thereby providing direct insight into autonomic reactivity and resilience. This double-logistic formulation builds directly on our earlier work establishing its use for the time-domain trend of a single physiological signal</w:t>
      </w:r>
      <w:r>
        <w:t xml:space="preserve"> </w:t>
      </w:r>
      <w:r>
        <w:t xml:space="preserve">[22]</w:t>
      </w:r>
      <w:r>
        <w:t xml:space="preserve">. The present framework extends that foundation in three specific ways: it jointly parameterizes the location (mean RRi) and dispersion (SDNN-scale) trajectories under a shared timing structure, enabling direct, quantitative contrasts between their recovery extents; it embeds a full spectral decomposition, partitioning structured variance across physiological frequency bands via Gaussian-process oscillators; and it unifies both the time-domain and frequency-domain components within a single, jointly estimated Bayesian model with complete posterior uncertainty quantification, rather than treating trend estimation as a standalone curve-fitting exercise.</w:t>
      </w:r>
    </w:p>
    <w:p>
      <w:pPr>
        <w:pStyle w:val="MDPI21heading1"/>
      </w:pPr>
      <w:r>
        <w:t xml:space="preserve">2. Results</w:t>
      </w:r>
    </w:p>
    <w:p>
      <w:pPr>
        <w:pStyle w:val="MDPI31text"/>
      </w:pPr>
      <w:r>
        <w:t xml:space="preserve">We propose a framework based on a generative Bayesian model that yields robust parameter estimates with full uncertainty quantification and, owing to its Bayesian formulation, is naturally extensible to hierarchical inference across individuals and groups in future work. The model decomposes the RRi series into a time-varying mean, total variance, and a dynamically shifting oscillatory component controlled by a double-logistic latent dynamic. Under conditions matching the model’s own generative assumptions, this formulation provides a more accurate and physiologically interpretable representation of autonomic dynamics than conventional fixed-window methods, offering quantitative indices of reactivity and recovery and a principled means to translate complex time series into mechanistic, falsifiable hypotheses.</w:t>
      </w:r>
    </w:p>
    <w:p>
      <w:pPr>
        <w:pStyle w:val="MDPI31text"/>
      </w:pPr>
      <w:r>
        <w:t xml:space="preserve">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MDPI31text"/>
      </w:pPr>
      <w:r>
        <w:t xml:space="preserve">The core components of the model, related the underlying data generation process being modeled, are illustrated in Figure 1.</w:t>
      </w:r>
    </w:p>
    <w:p>
      <w:pPr>
        <w:pStyle w:val="Textoindependiente"/>
      </w:pPr>
      <w:r>
        <w:drawing>
          <wp:inline>
            <wp:extent cx="6642100" cy="3732604"/>
            <wp:effectExtent b="0" l="0" r="0" t="0"/>
            <wp:docPr descr="" title="" id="22" name="Picture"/>
            <a:graphic>
              <a:graphicData uri="http://schemas.openxmlformats.org/drawingml/2006/picture">
                <pic:pic>
                  <pic:nvPicPr>
                    <pic:cNvPr descr="submission/fig-1.pdf" id="23" name="Picture"/>
                    <pic:cNvPicPr>
                      <a:picLocks noChangeArrowheads="1" noChangeAspect="1"/>
                    </pic:cNvPicPr>
                  </pic:nvPicPr>
                  <pic:blipFill>
                    <a:blip r:embed="rId21"/>
                    <a:stretch>
                      <a:fillRect/>
                    </a:stretch>
                  </pic:blipFill>
                  <pic:spPr bwMode="auto">
                    <a:xfrm>
                      <a:off x="0" y="0"/>
                      <a:ext cx="6642100" cy="3732604"/>
                    </a:xfrm>
                    <a:prstGeom prst="rect">
                      <a:avLst/>
                    </a:prstGeom>
                    <a:noFill/>
                    <a:ln w="9525">
                      <a:noFill/>
                      <a:headEnd/>
                      <a:tailEnd/>
                    </a:ln>
                  </pic:spPr>
                </pic:pic>
              </a:graphicData>
            </a:graphic>
          </wp:inline>
        </w:drawing>
      </w:r>
    </w:p>
    <w:p>
      <w:pPr>
        <w:pStyle w:val="MDPI51figurecaption"/>
      </w:pPr>
      <w:r>
        <w:rPr>
          <w:b/>
          <w:bCs/>
        </w:rPr>
        <w:t xml:space="preserve">Figure 1. Core inferential procedure being captured by the model.</w:t>
      </w:r>
      <w:r>
        <w:t xml:space="preserve"> </w:t>
      </w:r>
      <w:r>
        <w:t xml:space="preserve">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p>
      <w:pPr>
        <w:pStyle w:val="MDPI22heading2"/>
      </w:pPr>
      <w:r>
        <w:t xml:space="preserve">2.1. Model Validation and Parameter Recovery on Synthetic Data</w:t>
      </w:r>
    </w:p>
    <w:p>
      <w:pPr>
        <w:pStyle w:val="MDPI31text"/>
      </w:pPr>
      <w:r>
        <w:t xml:space="preserve">To establish the model’s internal consistency and the identifiability of its parameters, we first assessed its ability to perform inference on synthetic data generated from its own structure. This</w:t>
      </w:r>
      <w:r>
        <w:t xml:space="preserve"> </w:t>
      </w:r>
      <w:r>
        <w:rPr>
          <w:i/>
          <w:iCs/>
        </w:rPr>
        <w:t xml:space="preserve">in silico</w:t>
      </w:r>
      <w:r>
        <w:t xml:space="preserve"> </w:t>
      </w:r>
      <w:r>
        <w:t xml:space="preserve">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Textoindependiente"/>
      </w:pPr>
      <w:r>
        <w:drawing>
          <wp:inline>
            <wp:extent cx="6642100" cy="6642100"/>
            <wp:effectExtent b="0" l="0" r="0" t="0"/>
            <wp:docPr descr="" title="" id="25" name="Picture"/>
            <a:graphic>
              <a:graphicData uri="http://schemas.openxmlformats.org/drawingml/2006/picture">
                <pic:pic>
                  <pic:nvPicPr>
                    <pic:cNvPr descr="submission/fig-2.pdf" id="26" name="Picture"/>
                    <pic:cNvPicPr>
                      <a:picLocks noChangeArrowheads="1" noChangeAspect="1"/>
                    </pic:cNvPicPr>
                  </pic:nvPicPr>
                  <pic:blipFill>
                    <a:blip r:embed="rId24"/>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MDPI41tablecaption"/>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tbl>
      <w:tblPr>
        <w:tblStyle w:val="Table"/>
        <w:tblW w:type="pct" w:w="5000"/>
        <w:tblLayout w:type="fixed"/>
        <w:tblLook w:firstRow="1" w:lastRow="0" w:firstColumn="0" w:lastColumn="0" w:noHBand="0" w:noVBand="0" w:val="0020"/>
      </w:tblPr>
      <w:tblGrid>
        <w:gridCol w:w="1393"/>
        <w:gridCol w:w="3006"/>
        <w:gridCol w:w="1173"/>
        <w:gridCol w:w="1173"/>
        <w:gridCol w:w="1173"/>
      </w:tblGrid>
      <w:tr>
        <w:trPr>
          <w:tblHeader w:val="on"/>
        </w:trPr>
        <w:tc>
          <w:tcPr/>
          <w:p>
            <w:pPr>
              <w:pStyle w:val="Compact"/>
              <w:jc w:val="left"/>
            </w:pPr>
            <w:r>
              <w:t xml:space="preserve">Parameter</w:t>
            </w:r>
          </w:p>
        </w:tc>
        <w:tc>
          <w:tcPr/>
          <w:p>
            <w:pPr>
              <w:pStyle w:val="Compact"/>
              <w:jc w:val="left"/>
            </w:pPr>
            <w:r>
              <w:t xml:space="preserve">Interpretation</w:t>
            </w:r>
          </w:p>
        </w:tc>
        <w:tc>
          <w:tcPr/>
          <w:p>
            <w:pPr>
              <w:pStyle w:val="Compact"/>
              <w:jc w:val="left"/>
            </w:pPr>
            <w:r>
              <w:t xml:space="preserve">Scenario A</w:t>
            </w:r>
          </w:p>
        </w:tc>
        <w:tc>
          <w:tcPr/>
          <w:p>
            <w:pPr>
              <w:pStyle w:val="Compact"/>
              <w:jc w:val="left"/>
            </w:pPr>
            <w:r>
              <w:t xml:space="preserve">Scenario B</w:t>
            </w:r>
          </w:p>
        </w:tc>
        <w:tc>
          <w:tcPr/>
          <w:p>
            <w:pPr>
              <w:pStyle w:val="Compact"/>
              <w:jc w:val="left"/>
            </w:pPr>
            <w:r>
              <w:t xml:space="preserve">Scenario C</w:t>
            </w:r>
          </w:p>
        </w:tc>
      </w:tr>
      <w:tr>
        <w:tc>
          <w:tcPr/>
          <w:p>
            <w:pPr>
              <w:pStyle w:val="Compact"/>
              <w:jc w:val="left"/>
            </w:pPr>
            <m:oMath>
              <m:r>
                <m:t>λ</m:t>
              </m:r>
            </m:oMath>
          </w:p>
        </w:tc>
        <w:tc>
          <w:tcPr/>
          <w:p>
            <w:pPr>
              <w:pStyle w:val="Compact"/>
              <w:jc w:val="left"/>
            </w:pPr>
            <w:r>
              <w:t xml:space="preserve">Rate of dynamics onset</w:t>
            </w:r>
          </w:p>
        </w:tc>
        <w:tc>
          <w:tcPr/>
          <w:p>
            <w:pPr>
              <w:pStyle w:val="Compact"/>
              <w:jc w:val="left"/>
            </w:pPr>
            <w:r>
              <w:t xml:space="preserve">2.00</w:t>
            </w:r>
          </w:p>
        </w:tc>
        <w:tc>
          <w:tcPr/>
          <w:p>
            <w:pPr>
              <w:pStyle w:val="Compact"/>
              <w:jc w:val="left"/>
            </w:pPr>
            <w:r>
              <w:t xml:space="preserve">2.00</w:t>
            </w:r>
          </w:p>
        </w:tc>
        <w:tc>
          <w:tcPr/>
          <w:p>
            <w:pPr>
              <w:pStyle w:val="Compact"/>
              <w:jc w:val="left"/>
            </w:pPr>
            <w:r>
              <w:t xml:space="preserve">2.00</w:t>
            </w:r>
          </w:p>
        </w:tc>
      </w:tr>
      <w:tr>
        <w:tc>
          <w:tcPr/>
          <w:p>
            <w:pPr>
              <w:pStyle w:val="Compact"/>
              <w:jc w:val="left"/>
            </w:pPr>
            <m:oMath>
              <m:r>
                <m:t>ϕ</m:t>
              </m:r>
            </m:oMath>
          </w:p>
        </w:tc>
        <w:tc>
          <w:tcPr/>
          <w:p>
            <w:pPr>
              <w:pStyle w:val="Compact"/>
              <w:jc w:val="left"/>
            </w:pPr>
            <w:r>
              <w:t xml:space="preserve">Rate of recovery</w:t>
            </w:r>
          </w:p>
        </w:tc>
        <w:tc>
          <w:tcPr/>
          <w:p>
            <w:pPr>
              <w:pStyle w:val="Compact"/>
              <w:jc w:val="left"/>
            </w:pPr>
            <w:r>
              <w:t xml:space="preserve">3.00</w:t>
            </w:r>
          </w:p>
        </w:tc>
        <w:tc>
          <w:tcPr/>
          <w:p>
            <w:pPr>
              <w:pStyle w:val="Compact"/>
              <w:jc w:val="left"/>
            </w:pPr>
            <w:r>
              <w:t xml:space="preserve">3.00</w:t>
            </w:r>
          </w:p>
        </w:tc>
        <w:tc>
          <w:tcPr/>
          <w:p>
            <w:pPr>
              <w:pStyle w:val="Compact"/>
              <w:jc w:val="left"/>
            </w:pPr>
            <w:r>
              <w:t xml:space="preserve">3.00</w:t>
            </w:r>
          </w:p>
        </w:tc>
      </w:tr>
      <w:tr>
        <w:tc>
          <w:tcPr/>
          <w:p>
            <w:pPr>
              <w:pStyle w:val="Compact"/>
              <w:jc w:val="left"/>
            </w:pPr>
            <m:oMath>
              <m:r>
                <m:t>τ</m:t>
              </m:r>
            </m:oMath>
          </w:p>
        </w:tc>
        <w:tc>
          <w:tcPr/>
          <w:p>
            <w:pPr>
              <w:pStyle w:val="Compact"/>
              <w:jc w:val="left"/>
            </w:pPr>
            <w:r>
              <w:t xml:space="preserve">Time onset</w:t>
            </w:r>
          </w:p>
        </w:tc>
        <w:tc>
          <w:tcPr/>
          <w:p>
            <w:pPr>
              <w:pStyle w:val="Compact"/>
              <w:jc w:val="left"/>
            </w:pPr>
            <w:r>
              <w:t xml:space="preserve">6.00</w:t>
            </w:r>
          </w:p>
        </w:tc>
        <w:tc>
          <w:tcPr/>
          <w:p>
            <w:pPr>
              <w:pStyle w:val="Compact"/>
              <w:jc w:val="left"/>
            </w:pPr>
            <w:r>
              <w:t xml:space="preserve">6.00</w:t>
            </w:r>
          </w:p>
        </w:tc>
        <w:tc>
          <w:tcPr/>
          <w:p>
            <w:pPr>
              <w:pStyle w:val="Compact"/>
              <w:jc w:val="left"/>
            </w:pPr>
            <w:r>
              <w:t xml:space="preserve">6.00</w:t>
            </w:r>
          </w:p>
        </w:tc>
      </w:tr>
      <w:tr>
        <w:tc>
          <w:tcPr/>
          <w:p>
            <w:pPr>
              <w:pStyle w:val="Compact"/>
              <w:jc w:val="left"/>
            </w:pPr>
            <m:oMath>
              <m:r>
                <m:t>δ</m:t>
              </m:r>
            </m:oMath>
          </w:p>
        </w:tc>
        <w:tc>
          <w:tcPr/>
          <w:p>
            <w:pPr>
              <w:pStyle w:val="Compact"/>
              <w:jc w:val="left"/>
            </w:pPr>
            <w:r>
              <w:t xml:space="preserve">Stimulus durantion</w:t>
            </w:r>
          </w:p>
        </w:tc>
        <w:tc>
          <w:tcPr/>
          <w:p>
            <w:pPr>
              <w:pStyle w:val="Compact"/>
              <w:jc w:val="left"/>
            </w:pPr>
            <w:r>
              <w:t xml:space="preserve">3.00</w:t>
            </w:r>
          </w:p>
        </w:tc>
        <w:tc>
          <w:tcPr/>
          <w:p>
            <w:pPr>
              <w:pStyle w:val="Compact"/>
              <w:jc w:val="left"/>
            </w:pPr>
            <w:r>
              <w:t xml:space="preserve">3.00</w:t>
            </w:r>
          </w:p>
        </w:tc>
        <w:tc>
          <w:tcPr/>
          <w:p>
            <w:pPr>
              <w:pStyle w:val="Compact"/>
              <w:jc w:val="left"/>
            </w:pPr>
            <w:r>
              <w:t xml:space="preserve">3.00</w:t>
            </w:r>
          </w:p>
        </w:tc>
      </w:tr>
      <w:tr>
        <w:tc>
          <w:tcPr/>
          <w:p>
            <w:pPr>
              <w:pStyle w:val="Compact"/>
              <w:jc w:val="left"/>
            </w:pPr>
            <m:oMath>
              <m:sSub>
                <m:e>
                  <m:r>
                    <m:t>α</m:t>
                  </m:r>
                </m:e>
                <m:sub>
                  <m:r>
                    <m:t>r</m:t>
                  </m:r>
                </m:sub>
              </m:sSub>
            </m:oMath>
          </w:p>
        </w:tc>
        <w:tc>
          <w:tcPr/>
          <w:p>
            <w:pPr>
              <w:pStyle w:val="Compact"/>
              <w:jc w:val="left"/>
            </w:pPr>
            <w:r>
              <w:t xml:space="preserve">Resting RRi</w:t>
            </w:r>
          </w:p>
        </w:tc>
        <w:tc>
          <w:tcPr/>
          <w:p>
            <w:pPr>
              <w:pStyle w:val="Compact"/>
              <w:jc w:val="left"/>
            </w:pPr>
            <w:r>
              <w:t xml:space="preserve">800.00</w:t>
            </w:r>
          </w:p>
        </w:tc>
        <w:tc>
          <w:tcPr/>
          <w:p>
            <w:pPr>
              <w:pStyle w:val="Compact"/>
              <w:jc w:val="left"/>
            </w:pPr>
            <w:r>
              <w:t xml:space="preserve">700.00</w:t>
            </w:r>
          </w:p>
        </w:tc>
        <w:tc>
          <w:tcPr/>
          <w:p>
            <w:pPr>
              <w:pStyle w:val="Compact"/>
              <w:jc w:val="left"/>
            </w:pPr>
            <w:r>
              <w:t xml:space="preserve">800.00</w:t>
            </w:r>
          </w:p>
        </w:tc>
      </w:tr>
      <w:tr>
        <w:tc>
          <w:tcPr/>
          <w:p>
            <w:pPr>
              <w:pStyle w:val="Compact"/>
              <w:jc w:val="left"/>
            </w:pPr>
            <m:oMath>
              <m:sSub>
                <m:e>
                  <m:r>
                    <m:t>β</m:t>
                  </m:r>
                </m:e>
                <m:sub>
                  <m:r>
                    <m:t>r</m:t>
                  </m:r>
                </m:sub>
              </m:sSub>
            </m:oMath>
          </w:p>
        </w:tc>
        <w:tc>
          <w:tcPr/>
          <w:p>
            <w:pPr>
              <w:pStyle w:val="Compact"/>
              <w:jc w:val="left"/>
            </w:pPr>
            <w:r>
              <w:t xml:space="preserve">Magnitude of RRi change</w:t>
            </w:r>
          </w:p>
        </w:tc>
        <w:tc>
          <w:tcPr/>
          <w:p>
            <w:pPr>
              <w:pStyle w:val="Compact"/>
              <w:jc w:val="left"/>
            </w:pPr>
            <w:r>
              <w:t xml:space="preserve">-400.00</w:t>
            </w:r>
          </w:p>
        </w:tc>
        <w:tc>
          <w:tcPr/>
          <w:p>
            <w:pPr>
              <w:pStyle w:val="Compact"/>
              <w:jc w:val="left"/>
            </w:pPr>
            <w:r>
              <w:t xml:space="preserve">-350.00</w:t>
            </w:r>
          </w:p>
        </w:tc>
        <w:tc>
          <w:tcPr/>
          <w:p>
            <w:pPr>
              <w:pStyle w:val="Compact"/>
              <w:jc w:val="left"/>
            </w:pPr>
            <w:r>
              <w:t xml:space="preserve">-400.00</w:t>
            </w:r>
          </w:p>
        </w:tc>
      </w:tr>
      <w:tr>
        <w:tc>
          <w:tcPr/>
          <w:p>
            <w:pPr>
              <w:pStyle w:val="Compact"/>
              <w:jc w:val="left"/>
            </w:pPr>
            <m:oMath>
              <m:sSub>
                <m:e>
                  <m:r>
                    <m:t>c</m:t>
                  </m:r>
                </m:e>
                <m:sub>
                  <m:r>
                    <m:t>r</m:t>
                  </m:r>
                </m:sub>
              </m:sSub>
            </m:oMath>
          </w:p>
        </w:tc>
        <w:tc>
          <w:tcPr/>
          <w:p>
            <w:pPr>
              <w:pStyle w:val="Compact"/>
              <w:jc w:val="left"/>
            </w:pPr>
            <w:r>
              <w:t xml:space="preserve">RRi recovery proportion</w:t>
            </w:r>
          </w:p>
        </w:tc>
        <w:tc>
          <w:tcPr/>
          <w:p>
            <w:pPr>
              <w:pStyle w:val="Compact"/>
              <w:jc w:val="left"/>
            </w:pPr>
            <w:r>
              <w:t xml:space="preserve">1.00</w:t>
            </w:r>
          </w:p>
        </w:tc>
        <w:tc>
          <w:tcPr/>
          <w:p>
            <w:pPr>
              <w:pStyle w:val="Compact"/>
              <w:jc w:val="left"/>
            </w:pPr>
            <w:r>
              <w:t xml:space="preserve">0.60</w:t>
            </w:r>
          </w:p>
        </w:tc>
        <w:tc>
          <w:tcPr/>
          <w:p>
            <w:pPr>
              <w:pStyle w:val="Compact"/>
              <w:jc w:val="left"/>
            </w:pPr>
            <w:r>
              <w:t xml:space="preserve">1.00</w:t>
            </w:r>
          </w:p>
        </w:tc>
      </w:tr>
      <w:tr>
        <w:tc>
          <w:tcPr/>
          <w:p>
            <w:pPr>
              <w:pStyle w:val="Compact"/>
              <w:jc w:val="left"/>
            </w:pPr>
            <m:oMath>
              <m:sSub>
                <m:e>
                  <m:r>
                    <m:t>α</m:t>
                  </m:r>
                </m:e>
                <m:sub>
                  <m:r>
                    <m:t>s</m:t>
                  </m:r>
                </m:sub>
              </m:sSub>
            </m:oMath>
          </w:p>
        </w:tc>
        <w:tc>
          <w:tcPr/>
          <w:p>
            <w:pPr>
              <w:pStyle w:val="Compact"/>
              <w:jc w:val="left"/>
            </w:pPr>
            <w:r>
              <w:t xml:space="preserve">Resting SDNN</w:t>
            </w:r>
          </w:p>
        </w:tc>
        <w:tc>
          <w:tcPr/>
          <w:p>
            <w:pPr>
              <w:pStyle w:val="Compact"/>
              <w:jc w:val="left"/>
            </w:pPr>
            <w:r>
              <w:t xml:space="preserve">50.00</w:t>
            </w:r>
          </w:p>
        </w:tc>
        <w:tc>
          <w:tcPr/>
          <w:p>
            <w:pPr>
              <w:pStyle w:val="Compact"/>
              <w:jc w:val="left"/>
            </w:pPr>
            <w:r>
              <w:t xml:space="preserve">40.00</w:t>
            </w:r>
          </w:p>
        </w:tc>
        <w:tc>
          <w:tcPr/>
          <w:p>
            <w:pPr>
              <w:pStyle w:val="Compact"/>
              <w:jc w:val="left"/>
            </w:pPr>
            <w:r>
              <w:t xml:space="preserve">50.00</w:t>
            </w:r>
          </w:p>
        </w:tc>
      </w:tr>
      <w:tr>
        <w:tc>
          <w:tcPr/>
          <w:p>
            <w:pPr>
              <w:pStyle w:val="Compact"/>
              <w:jc w:val="left"/>
            </w:pPr>
            <m:oMath>
              <m:sSub>
                <m:e>
                  <m:r>
                    <m:t>β</m:t>
                  </m:r>
                </m:e>
                <m:sub>
                  <m:r>
                    <m:t>s</m:t>
                  </m:r>
                </m:sub>
              </m:sSub>
            </m:oMath>
          </w:p>
        </w:tc>
        <w:tc>
          <w:tcPr/>
          <w:p>
            <w:pPr>
              <w:pStyle w:val="Compact"/>
              <w:jc w:val="left"/>
            </w:pPr>
            <w:r>
              <w:t xml:space="preserve">Magnitude of SDNN change</w:t>
            </w:r>
          </w:p>
        </w:tc>
        <w:tc>
          <w:tcPr/>
          <w:p>
            <w:pPr>
              <w:pStyle w:val="Compact"/>
              <w:jc w:val="left"/>
            </w:pPr>
            <w:r>
              <w:t xml:space="preserve">-40.00</w:t>
            </w:r>
          </w:p>
        </w:tc>
        <w:tc>
          <w:tcPr/>
          <w:p>
            <w:pPr>
              <w:pStyle w:val="Compact"/>
              <w:jc w:val="left"/>
            </w:pPr>
            <w:r>
              <w:t xml:space="preserve">-20.00</w:t>
            </w:r>
          </w:p>
        </w:tc>
        <w:tc>
          <w:tcPr/>
          <w:p>
            <w:pPr>
              <w:pStyle w:val="Compact"/>
              <w:jc w:val="left"/>
            </w:pPr>
            <w:r>
              <w:t xml:space="preserve">-25.00</w:t>
            </w:r>
          </w:p>
        </w:tc>
      </w:tr>
      <w:tr>
        <w:tc>
          <w:tcPr/>
          <w:p>
            <w:pPr>
              <w:pStyle w:val="Compact"/>
              <w:jc w:val="left"/>
            </w:pPr>
            <m:oMath>
              <m:sSub>
                <m:e>
                  <m:r>
                    <m:t>c</m:t>
                  </m:r>
                </m:e>
                <m:sub>
                  <m:r>
                    <m:t>s</m:t>
                  </m:r>
                </m:sub>
              </m:sSub>
            </m:oMath>
          </w:p>
        </w:tc>
        <w:tc>
          <w:tcPr/>
          <w:p>
            <w:pPr>
              <w:pStyle w:val="Compact"/>
              <w:jc w:val="left"/>
            </w:pPr>
            <w:r>
              <w:t xml:space="preserve">SDNN recovery proportion</w:t>
            </w:r>
          </w:p>
        </w:tc>
        <w:tc>
          <w:tcPr/>
          <w:p>
            <w:pPr>
              <w:pStyle w:val="Compact"/>
              <w:jc w:val="left"/>
            </w:pPr>
            <w:r>
              <w:t xml:space="preserve">1.00</w:t>
            </w:r>
          </w:p>
        </w:tc>
        <w:tc>
          <w:tcPr/>
          <w:p>
            <w:pPr>
              <w:pStyle w:val="Compact"/>
              <w:jc w:val="left"/>
            </w:pPr>
            <w:r>
              <w:t xml:space="preserve">0.60</w:t>
            </w:r>
          </w:p>
        </w:tc>
        <w:tc>
          <w:tcPr/>
          <w:p>
            <w:pPr>
              <w:pStyle w:val="Compact"/>
              <w:jc w:val="left"/>
            </w:pPr>
            <w:r>
              <w:t xml:space="preserve">1.00</w:t>
            </w:r>
          </w:p>
        </w:tc>
      </w:tr>
      <w:tr>
        <w:tc>
          <w:tcPr/>
          <w:p>
            <w:pPr>
              <w:pStyle w:val="Compact"/>
              <w:jc w:val="left"/>
            </w:pPr>
            <m:oMath>
              <m:sSub>
                <m:e>
                  <m:r>
                    <m:t>c</m:t>
                  </m:r>
                </m:e>
                <m:sub>
                  <m:r>
                    <m:t>c</m:t>
                  </m:r>
                </m:sub>
              </m:sSub>
            </m:oMath>
          </w:p>
        </w:tc>
        <w:tc>
          <w:tcPr/>
          <w:p>
            <w:pPr>
              <w:pStyle w:val="Compact"/>
              <w:jc w:val="left"/>
            </w:pPr>
            <w:r>
              <w:t xml:space="preserve">Spectral recovery proportion</w:t>
            </w:r>
          </w:p>
        </w:tc>
        <w:tc>
          <w:tcPr/>
          <w:p>
            <w:pPr>
              <w:pStyle w:val="Compact"/>
              <w:jc w:val="left"/>
            </w:pPr>
            <w:r>
              <w:t xml:space="preserve">0.80</w:t>
            </w:r>
          </w:p>
        </w:tc>
        <w:tc>
          <w:tcPr/>
          <w:p>
            <w:pPr>
              <w:pStyle w:val="Compact"/>
              <w:jc w:val="left"/>
            </w:pPr>
            <w:r>
              <w:t xml:space="preserve">0.40</w:t>
            </w:r>
          </w:p>
        </w:tc>
        <w:tc>
          <w:tcPr/>
          <w:p>
            <w:pPr>
              <w:pStyle w:val="Compact"/>
              <w:jc w:val="left"/>
            </w:pPr>
            <w:r>
              <w:t xml:space="preserve">0.40</w:t>
            </w:r>
          </w:p>
        </w:tc>
      </w:tr>
      <w:tr>
        <w:tc>
          <w:tcPr/>
          <w:p>
            <w:pPr>
              <w:pStyle w:val="Compact"/>
              <w:jc w:val="left"/>
            </w:pPr>
            <m:oMath>
              <m:r>
                <m:t>w</m:t>
              </m:r>
            </m:oMath>
          </w:p>
        </w:tc>
        <w:tc>
          <w:tcPr/>
          <w:p>
            <w:pPr>
              <w:pStyle w:val="Compact"/>
              <w:jc w:val="left"/>
            </w:pPr>
            <w:r>
              <w:t xml:space="preserve">Proportion of structured variance</w:t>
            </w:r>
          </w:p>
        </w:tc>
        <w:tc>
          <w:tcPr/>
          <w:p>
            <w:pPr>
              <w:pStyle w:val="Compact"/>
              <w:jc w:val="left"/>
            </w:pPr>
            <w:r>
              <w:t xml:space="preserve">0.90</w:t>
            </w:r>
          </w:p>
        </w:tc>
        <w:tc>
          <w:tcPr/>
          <w:p>
            <w:pPr>
              <w:pStyle w:val="Compact"/>
              <w:jc w:val="left"/>
            </w:pPr>
            <w:r>
              <w:t xml:space="preserve">0.90</w:t>
            </w:r>
          </w:p>
        </w:tc>
        <w:tc>
          <w:tcPr/>
          <w:p>
            <w:pPr>
              <w:pStyle w:val="Compact"/>
              <w:jc w:val="left"/>
            </w:pPr>
            <w:r>
              <w:t xml:space="preserve">0.60</w:t>
            </w:r>
          </w:p>
        </w:tc>
      </w:tr>
      <w:tr>
        <w:tc>
          <w:tcPr/>
          <w:p>
            <w:pPr>
              <w:pStyle w:val="Compact"/>
              <w:jc w:val="left"/>
            </w:pPr>
            <m:oMath>
              <m:sSub>
                <m:e>
                  <m:acc>
                    <m:accPr>
                      <m:chr m:val="⃗"/>
                    </m:accPr>
                    <m:e>
                      <m:r>
                        <m:t>π</m:t>
                      </m:r>
                    </m:e>
                  </m:acc>
                </m:e>
                <m:sub>
                  <m:r>
                    <m:t>b</m:t>
                  </m:r>
                  <m:r>
                    <m:t>a</m:t>
                  </m:r>
                  <m:r>
                    <m:t>s</m:t>
                  </m:r>
                  <m:r>
                    <m:t>e</m:t>
                  </m:r>
                </m:sub>
              </m:sSub>
            </m:oMath>
          </w:p>
        </w:tc>
        <w:tc>
          <w:tcPr/>
          <w:p>
            <w:pPr>
              <w:pStyle w:val="Compact"/>
              <w:jc w:val="left"/>
            </w:pPr>
            <w:r>
              <w:t xml:space="preserve">Base-state [VLF, LF, HF] proportion</w:t>
            </w:r>
          </w:p>
        </w:tc>
        <w:tc>
          <w:tcPr/>
          <w:p>
            <w:pPr>
              <w:pStyle w:val="Compact"/>
              <w:jc w:val="left"/>
            </w:pPr>
            <w:r>
              <w:t xml:space="preserve">[0.2, 0.2, 0.6]</w:t>
            </w:r>
          </w:p>
        </w:tc>
        <w:tc>
          <w:tcPr/>
          <w:p>
            <w:pPr>
              <w:pStyle w:val="Compact"/>
              <w:jc w:val="left"/>
            </w:pPr>
            <w:r>
              <w:t xml:space="preserve">[0.2, 0.2, 0.6]</w:t>
            </w:r>
          </w:p>
        </w:tc>
        <w:tc>
          <w:tcPr/>
          <w:p>
            <w:pPr>
              <w:pStyle w:val="Compact"/>
              <w:jc w:val="left"/>
            </w:pPr>
            <w:r>
              <w:t xml:space="preserve">[0.2, 0.2, 0.6]</w:t>
            </w:r>
          </w:p>
        </w:tc>
      </w:tr>
      <w:tr>
        <w:tc>
          <w:tcPr/>
          <w:p>
            <w:pPr>
              <w:pStyle w:val="Compact"/>
              <w:jc w:val="left"/>
            </w:pPr>
            <m:oMath>
              <m:sSub>
                <m:e>
                  <m:acc>
                    <m:accPr>
                      <m:chr m:val="⃗"/>
                    </m:accPr>
                    <m:e>
                      <m:r>
                        <m:t>π</m:t>
                      </m:r>
                    </m:e>
                  </m:acc>
                </m:e>
                <m:sub>
                  <m:r>
                    <m:t>p</m:t>
                  </m:r>
                  <m:r>
                    <m:t>e</m:t>
                  </m:r>
                  <m:r>
                    <m:t>r</m:t>
                  </m:r>
                  <m:r>
                    <m:t>t</m:t>
                  </m:r>
                </m:sub>
              </m:sSub>
            </m:oMath>
          </w:p>
        </w:tc>
        <w:tc>
          <w:tcPr/>
          <w:p>
            <w:pPr>
              <w:pStyle w:val="Compact"/>
              <w:jc w:val="left"/>
            </w:pPr>
            <w:r>
              <w:t xml:space="preserve">Perturbed-state [VLF, LF, HF] proportion</w:t>
            </w:r>
          </w:p>
        </w:tc>
        <w:tc>
          <w:tcPr/>
          <w:p>
            <w:pPr>
              <w:pStyle w:val="Compact"/>
              <w:jc w:val="left"/>
            </w:pPr>
            <w:r>
              <w:t xml:space="preserve">[0.4, 0.4, 0.2]</w:t>
            </w:r>
          </w:p>
        </w:tc>
        <w:tc>
          <w:tcPr/>
          <w:p>
            <w:pPr>
              <w:pStyle w:val="Compact"/>
              <w:jc w:val="left"/>
            </w:pPr>
            <w:r>
              <w:t xml:space="preserve">[0.4, 0.4, 0.2]</w:t>
            </w:r>
          </w:p>
        </w:tc>
        <w:tc>
          <w:tcPr/>
          <w:p>
            <w:pPr>
              <w:pStyle w:val="Compact"/>
              <w:jc w:val="left"/>
            </w:pPr>
            <w:r>
              <w:t xml:space="preserve">[0.4, 0.4, 0.2]</w:t>
            </w:r>
          </w:p>
        </w:tc>
      </w:tr>
    </w:tbl>
    <w:p>
      <w:pPr>
        <w:pStyle w:val="MDPI31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Textoindependiente"/>
      </w:pPr>
      <w:r>
        <w:drawing>
          <wp:inline>
            <wp:extent cx="6642100" cy="6642100"/>
            <wp:effectExtent b="0" l="0" r="0" t="0"/>
            <wp:docPr descr="" title="" id="28" name="Picture"/>
            <a:graphic>
              <a:graphicData uri="http://schemas.openxmlformats.org/drawingml/2006/picture">
                <pic:pic>
                  <pic:nvPicPr>
                    <pic:cNvPr descr="submission/fig-3.pdf" id="29" name="Picture"/>
                    <pic:cNvPicPr>
                      <a:picLocks noChangeArrowheads="1" noChangeAspect="1"/>
                    </pic:cNvPicPr>
                  </pic:nvPicPr>
                  <pic:blipFill>
                    <a:blip r:embed="rId27"/>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MDPI31text"/>
      </w:pPr>
      <w:r>
        <w:t xml:space="preserve">Beyond recovering the continuous dynamic trajectories, the model also recovered the discrete parameters that govern the shape and timing of these dynamics. Tables 2A–2C present the posterior summaries for these key parameters, comparing the posterior median and 95% credible intervals against their true values. For all parameters across all scenarios, the 95% credible intervals successfully contained the ground-truth values. This three-scenario test serves as a proof-of-concept parameter-recovery demonstration, rather than a general claim of practical identifiability; a more systematic characterization, including simulation-based calibration across a broader range of data configurations, is reported below and in the supplementary material.</w:t>
      </w:r>
    </w:p>
    <w:p>
      <w:pPr>
        <w:pStyle w:val="MDPI41tablecaption"/>
      </w:pPr>
      <w:r>
        <w:rPr>
          <w:b/>
          <w:bCs/>
        </w:rPr>
        <w:t xml:space="preserve">Table 2A. Posterior recovery of ground-truth parameters — Scenario A (classic sympatho-vagal response).</w:t>
      </w:r>
      <w:r>
        <w:t xml:space="preserve"> </w:t>
      </w:r>
      <w:r>
        <w:t xml:space="preserve">This table compares the known ground-truth parameter values to the model’s posterior estimates (median and 95% credible interval) for Scenario A. The model successfully recovers all parameters, with the true values consistently falling within the credible intervals.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Truth</w:t>
            </w:r>
          </w:p>
        </w:tc>
        <w:tc>
          <w:tcPr/>
          <w:p>
            <w:pPr>
              <w:pStyle w:val="Compact"/>
              <w:jc w:val="right"/>
            </w:pPr>
            <w:r>
              <w:t xml:space="preserve">Estimate</w:t>
            </w:r>
          </w:p>
        </w:tc>
        <w:tc>
          <w:tcPr/>
          <w:p>
            <w:pPr>
              <w:pStyle w:val="Compact"/>
              <w:jc w:val="left"/>
            </w:pPr>
            <w:r>
              <w:t xml:space="preserve">95% HDI</w:t>
            </w:r>
          </w:p>
        </w:tc>
      </w:tr>
      <w:tr>
        <w:tc>
          <w:tcPr/>
          <w:p>
            <w:pPr>
              <w:pStyle w:val="Compact"/>
              <w:jc w:val="left"/>
            </w:pPr>
            <m:oMath>
              <m:r>
                <m:t>λ</m:t>
              </m:r>
            </m:oMath>
          </w:p>
        </w:tc>
        <w:tc>
          <w:tcPr/>
          <w:p>
            <w:pPr>
              <w:pStyle w:val="Compact"/>
              <w:jc w:val="left"/>
            </w:pPr>
            <w:r>
              <w:t xml:space="preserve">2.00</w:t>
            </w:r>
          </w:p>
        </w:tc>
        <w:tc>
          <w:tcPr/>
          <w:p>
            <w:pPr>
              <w:pStyle w:val="Compact"/>
              <w:jc w:val="right"/>
            </w:pPr>
            <w:r>
              <w:t xml:space="preserve">1.99</w:t>
            </w:r>
          </w:p>
        </w:tc>
        <w:tc>
          <w:tcPr/>
          <w:p>
            <w:pPr>
              <w:pStyle w:val="Compact"/>
              <w:jc w:val="left"/>
            </w:pPr>
            <w:r>
              <w:t xml:space="preserve">[1.91, 2.08]</w:t>
            </w:r>
          </w:p>
        </w:tc>
      </w:tr>
      <w:tr>
        <w:tc>
          <w:tcPr/>
          <w:p>
            <w:pPr>
              <w:pStyle w:val="Compact"/>
              <w:jc w:val="left"/>
            </w:pPr>
            <m:oMath>
              <m:r>
                <m:t>ϕ</m:t>
              </m:r>
            </m:oMath>
          </w:p>
        </w:tc>
        <w:tc>
          <w:tcPr/>
          <w:p>
            <w:pPr>
              <w:pStyle w:val="Compact"/>
              <w:jc w:val="left"/>
            </w:pPr>
            <w:r>
              <w:t xml:space="preserve">3.00</w:t>
            </w:r>
          </w:p>
        </w:tc>
        <w:tc>
          <w:tcPr/>
          <w:p>
            <w:pPr>
              <w:pStyle w:val="Compact"/>
              <w:jc w:val="right"/>
            </w:pPr>
            <w:r>
              <w:t xml:space="preserve">2.95</w:t>
            </w:r>
          </w:p>
        </w:tc>
        <w:tc>
          <w:tcPr/>
          <w:p>
            <w:pPr>
              <w:pStyle w:val="Compact"/>
              <w:jc w:val="left"/>
            </w:pPr>
            <w:r>
              <w:t xml:space="preserve">[2.79, 3.11]</w:t>
            </w:r>
          </w:p>
        </w:tc>
      </w:tr>
      <w:tr>
        <w:tc>
          <w:tcPr/>
          <w:p>
            <w:pPr>
              <w:pStyle w:val="Compact"/>
              <w:jc w:val="left"/>
            </w:pPr>
            <m:oMath>
              <m:r>
                <m:t>τ</m:t>
              </m:r>
            </m:oMath>
          </w:p>
        </w:tc>
        <w:tc>
          <w:tcPr/>
          <w:p>
            <w:pPr>
              <w:pStyle w:val="Compact"/>
              <w:jc w:val="left"/>
            </w:pPr>
            <w:r>
              <w:t xml:space="preserve">6.00</w:t>
            </w:r>
          </w:p>
        </w:tc>
        <w:tc>
          <w:tcPr/>
          <w:p>
            <w:pPr>
              <w:pStyle w:val="Compact"/>
              <w:jc w:val="right"/>
            </w:pPr>
            <w:r>
              <w:t xml:space="preserve">6.01</w:t>
            </w:r>
          </w:p>
        </w:tc>
        <w:tc>
          <w:tcPr/>
          <w:p>
            <w:pPr>
              <w:pStyle w:val="Compact"/>
              <w:jc w:val="left"/>
            </w:pPr>
            <w:r>
              <w:t xml:space="preserve">[5.99, 6.04]</w:t>
            </w:r>
          </w:p>
        </w:tc>
      </w:tr>
      <w:tr>
        <w:tc>
          <w:tcPr/>
          <w:p>
            <w:pPr>
              <w:pStyle w:val="Compact"/>
              <w:jc w:val="left"/>
            </w:pPr>
            <m:oMath>
              <m:r>
                <m:t>δ</m:t>
              </m:r>
            </m:oMath>
          </w:p>
        </w:tc>
        <w:tc>
          <w:tcPr/>
          <w:p>
            <w:pPr>
              <w:pStyle w:val="Compact"/>
              <w:jc w:val="left"/>
            </w:pPr>
            <w:r>
              <w:t xml:space="preserve">3.00</w:t>
            </w:r>
          </w:p>
        </w:tc>
        <w:tc>
          <w:tcPr/>
          <w:p>
            <w:pPr>
              <w:pStyle w:val="Compact"/>
              <w:jc w:val="right"/>
            </w:pPr>
            <w:r>
              <w:t xml:space="preserve">2.98</w:t>
            </w:r>
          </w:p>
        </w:tc>
        <w:tc>
          <w:tcPr/>
          <w:p>
            <w:pPr>
              <w:pStyle w:val="Compact"/>
              <w:jc w:val="left"/>
            </w:pPr>
            <w:r>
              <w:t xml:space="preserve">[2.94, 3.03]</w:t>
            </w:r>
          </w:p>
        </w:tc>
      </w:tr>
      <w:tr>
        <w:tc>
          <w:tcPr/>
          <w:p>
            <w:pPr>
              <w:pStyle w:val="Compact"/>
              <w:jc w:val="left"/>
            </w:pPr>
            <m:oMath>
              <m:sSub>
                <m:e>
                  <m:r>
                    <m:t>α</m:t>
                  </m:r>
                </m:e>
                <m:sub>
                  <m:r>
                    <m:t>r</m:t>
                  </m:r>
                </m:sub>
              </m:sSub>
            </m:oMath>
          </w:p>
        </w:tc>
        <w:tc>
          <w:tcPr/>
          <w:p>
            <w:pPr>
              <w:pStyle w:val="Compact"/>
              <w:jc w:val="left"/>
            </w:pPr>
            <w:r>
              <w:t xml:space="preserve">800.00</w:t>
            </w:r>
          </w:p>
        </w:tc>
        <w:tc>
          <w:tcPr/>
          <w:p>
            <w:pPr>
              <w:pStyle w:val="Compact"/>
              <w:jc w:val="right"/>
            </w:pPr>
            <w:r>
              <w:t xml:space="preserve">800.09</w:t>
            </w:r>
          </w:p>
        </w:tc>
        <w:tc>
          <w:tcPr/>
          <w:p>
            <w:pPr>
              <w:pStyle w:val="Compact"/>
              <w:jc w:val="left"/>
            </w:pPr>
            <w:r>
              <w:t xml:space="preserve">[798.57, 801.59]</w:t>
            </w:r>
          </w:p>
        </w:tc>
      </w:tr>
      <w:tr>
        <w:tc>
          <w:tcPr/>
          <w:p>
            <w:pPr>
              <w:pStyle w:val="Compact"/>
              <w:jc w:val="left"/>
            </w:pPr>
            <m:oMath>
              <m:sSub>
                <m:e>
                  <m:r>
                    <m:t>β</m:t>
                  </m:r>
                </m:e>
                <m:sub>
                  <m:r>
                    <m:t>r</m:t>
                  </m:r>
                </m:sub>
              </m:sSub>
            </m:oMath>
          </w:p>
        </w:tc>
        <w:tc>
          <w:tcPr/>
          <w:p>
            <w:pPr>
              <w:pStyle w:val="Compact"/>
              <w:jc w:val="left"/>
            </w:pPr>
            <w:r>
              <w:t xml:space="preserve">-400.00</w:t>
            </w:r>
          </w:p>
        </w:tc>
        <w:tc>
          <w:tcPr/>
          <w:p>
            <w:pPr>
              <w:pStyle w:val="Compact"/>
              <w:jc w:val="right"/>
            </w:pPr>
            <w:r>
              <w:t xml:space="preserve">-402.02</w:t>
            </w:r>
          </w:p>
        </w:tc>
        <w:tc>
          <w:tcPr/>
          <w:p>
            <w:pPr>
              <w:pStyle w:val="Compact"/>
              <w:jc w:val="left"/>
            </w:pPr>
            <w:r>
              <w:t xml:space="preserve">[-407.94, -396.16]</w:t>
            </w:r>
          </w:p>
        </w:tc>
      </w:tr>
      <w:tr>
        <w:tc>
          <w:tcPr/>
          <w:p>
            <w:pPr>
              <w:pStyle w:val="Compact"/>
              <w:jc w:val="left"/>
            </w:pPr>
            <m:oMath>
              <m:sSub>
                <m:e>
                  <m:r>
                    <m:t>c</m:t>
                  </m:r>
                </m:e>
                <m:sub>
                  <m:r>
                    <m:t>r</m:t>
                  </m:r>
                </m:sub>
              </m:sSub>
            </m:oMath>
          </w:p>
        </w:tc>
        <w:tc>
          <w:tcPr/>
          <w:p>
            <w:pPr>
              <w:pStyle w:val="Compact"/>
              <w:jc w:val="left"/>
            </w:pPr>
            <w:r>
              <w:t xml:space="preserve">1.00</w:t>
            </w:r>
          </w:p>
        </w:tc>
        <w:tc>
          <w:tcPr/>
          <w:p>
            <w:pPr>
              <w:pStyle w:val="Compact"/>
              <w:jc w:val="right"/>
            </w:pPr>
            <w:r>
              <w:t xml:space="preserve">1.00</w:t>
            </w:r>
          </w:p>
        </w:tc>
        <w:tc>
          <w:tcPr/>
          <w:p>
            <w:pPr>
              <w:pStyle w:val="Compact"/>
              <w:jc w:val="left"/>
            </w:pPr>
            <w:r>
              <w:t xml:space="preserve">[1, 1.01]</w:t>
            </w:r>
          </w:p>
        </w:tc>
      </w:tr>
      <w:tr>
        <w:tc>
          <w:tcPr/>
          <w:p>
            <w:pPr>
              <w:pStyle w:val="Compact"/>
              <w:jc w:val="left"/>
            </w:pPr>
            <m:oMath>
              <m:sSub>
                <m:e>
                  <m:r>
                    <m:t>α</m:t>
                  </m:r>
                </m:e>
                <m:sub>
                  <m:r>
                    <m:t>s</m:t>
                  </m:r>
                </m:sub>
              </m:sSub>
            </m:oMath>
          </w:p>
        </w:tc>
        <w:tc>
          <w:tcPr/>
          <w:p>
            <w:pPr>
              <w:pStyle w:val="Compact"/>
              <w:jc w:val="left"/>
            </w:pPr>
            <w:r>
              <w:t xml:space="preserve">50.00</w:t>
            </w:r>
          </w:p>
        </w:tc>
        <w:tc>
          <w:tcPr/>
          <w:p>
            <w:pPr>
              <w:pStyle w:val="Compact"/>
              <w:jc w:val="right"/>
            </w:pPr>
            <w:r>
              <w:t xml:space="preserve">49.40</w:t>
            </w:r>
          </w:p>
        </w:tc>
        <w:tc>
          <w:tcPr/>
          <w:p>
            <w:pPr>
              <w:pStyle w:val="Compact"/>
              <w:jc w:val="left"/>
            </w:pPr>
            <w:r>
              <w:t xml:space="preserve">[48.3, 50.56]</w:t>
            </w:r>
          </w:p>
        </w:tc>
      </w:tr>
      <w:tr>
        <w:tc>
          <w:tcPr/>
          <w:p>
            <w:pPr>
              <w:pStyle w:val="Compact"/>
              <w:jc w:val="left"/>
            </w:pPr>
            <m:oMath>
              <m:sSub>
                <m:e>
                  <m:r>
                    <m:t>β</m:t>
                  </m:r>
                </m:e>
                <m:sub>
                  <m:r>
                    <m:t>s</m:t>
                  </m:r>
                </m:sub>
              </m:sSub>
            </m:oMath>
          </w:p>
        </w:tc>
        <w:tc>
          <w:tcPr/>
          <w:p>
            <w:pPr>
              <w:pStyle w:val="Compact"/>
              <w:jc w:val="left"/>
            </w:pPr>
            <w:r>
              <w:t xml:space="preserve">-40.00</w:t>
            </w:r>
          </w:p>
        </w:tc>
        <w:tc>
          <w:tcPr/>
          <w:p>
            <w:pPr>
              <w:pStyle w:val="Compact"/>
              <w:jc w:val="right"/>
            </w:pPr>
            <w:r>
              <w:t xml:space="preserve">-39.63</w:t>
            </w:r>
          </w:p>
        </w:tc>
        <w:tc>
          <w:tcPr/>
          <w:p>
            <w:pPr>
              <w:pStyle w:val="Compact"/>
              <w:jc w:val="left"/>
            </w:pPr>
            <w:r>
              <w:t xml:space="preserve">[-41.48, -37.75]</w:t>
            </w:r>
          </w:p>
        </w:tc>
      </w:tr>
      <w:tr>
        <w:tc>
          <w:tcPr/>
          <w:p>
            <w:pPr>
              <w:pStyle w:val="Compact"/>
              <w:jc w:val="left"/>
            </w:pPr>
            <m:oMath>
              <m:sSub>
                <m:e>
                  <m:r>
                    <m:t>c</m:t>
                  </m:r>
                </m:e>
                <m:sub>
                  <m:r>
                    <m:t>s</m:t>
                  </m:r>
                </m:sub>
              </m:sSub>
            </m:oMath>
          </w:p>
        </w:tc>
        <w:tc>
          <w:tcPr/>
          <w:p>
            <w:pPr>
              <w:pStyle w:val="Compact"/>
              <w:jc w:val="left"/>
            </w:pPr>
            <w:r>
              <w:t xml:space="preserve">1.00</w:t>
            </w:r>
          </w:p>
        </w:tc>
        <w:tc>
          <w:tcPr/>
          <w:p>
            <w:pPr>
              <w:pStyle w:val="Compact"/>
              <w:jc w:val="right"/>
            </w:pPr>
            <w:r>
              <w:t xml:space="preserve">1.02</w:t>
            </w:r>
          </w:p>
        </w:tc>
        <w:tc>
          <w:tcPr/>
          <w:p>
            <w:pPr>
              <w:pStyle w:val="Compact"/>
              <w:jc w:val="left"/>
            </w:pPr>
            <w:r>
              <w:t xml:space="preserve">[0.98, 1.07]</w:t>
            </w:r>
          </w:p>
        </w:tc>
      </w:tr>
      <w:tr>
        <w:tc>
          <w:tcPr/>
          <w:p>
            <w:pPr>
              <w:pStyle w:val="Compact"/>
              <w:jc w:val="left"/>
            </w:pPr>
            <m:oMath>
              <m:sSub>
                <m:e>
                  <m:r>
                    <m:t>c</m:t>
                  </m:r>
                </m:e>
                <m:sub>
                  <m:r>
                    <m:t>c</m:t>
                  </m:r>
                </m:sub>
              </m:sSub>
            </m:oMath>
          </w:p>
        </w:tc>
        <w:tc>
          <w:tcPr/>
          <w:p>
            <w:pPr>
              <w:pStyle w:val="Compact"/>
              <w:jc w:val="left"/>
            </w:pPr>
            <w:r>
              <w:t xml:space="preserve">0.80</w:t>
            </w:r>
          </w:p>
        </w:tc>
        <w:tc>
          <w:tcPr/>
          <w:p>
            <w:pPr>
              <w:pStyle w:val="Compact"/>
              <w:jc w:val="right"/>
            </w:pPr>
            <w:r>
              <w:t xml:space="preserve">0.79</w:t>
            </w:r>
          </w:p>
        </w:tc>
        <w:tc>
          <w:tcPr/>
          <w:p>
            <w:pPr>
              <w:pStyle w:val="Compact"/>
              <w:jc w:val="left"/>
            </w:pPr>
            <w:r>
              <w:t xml:space="preserve">[0.75, 0.84]</w:t>
            </w:r>
          </w:p>
        </w:tc>
      </w:tr>
      <w:tr>
        <w:tc>
          <w:tcPr/>
          <w:p>
            <w:pPr>
              <w:pStyle w:val="Compact"/>
              <w:jc w:val="left"/>
            </w:pPr>
            <m:oMath>
              <m:r>
                <m:t>w</m:t>
              </m:r>
            </m:oMath>
          </w:p>
        </w:tc>
        <w:tc>
          <w:tcPr/>
          <w:p>
            <w:pPr>
              <w:pStyle w:val="Compact"/>
              <w:jc w:val="left"/>
            </w:pPr>
            <w:r>
              <w:t xml:space="preserve">0.90</w:t>
            </w:r>
          </w:p>
        </w:tc>
        <w:tc>
          <w:tcPr/>
          <w:p>
            <w:pPr>
              <w:pStyle w:val="Compact"/>
              <w:jc w:val="right"/>
            </w:pPr>
            <w:r>
              <w:t xml:space="preserve">0.90</w:t>
            </w:r>
          </w:p>
        </w:tc>
        <w:tc>
          <w:tcPr/>
          <w:p>
            <w:pPr>
              <w:pStyle w:val="Compact"/>
              <w:jc w:val="left"/>
            </w:pPr>
            <w:r>
              <w:t xml:space="preserve">[0.89, 0.9]</w:t>
            </w:r>
          </w:p>
        </w:tc>
      </w:tr>
      <w:tr>
        <w:tc>
          <w:tcPr/>
          <w:p>
            <w:pPr>
              <w:pStyle w:val="Compact"/>
              <w:jc w:val="left"/>
            </w:pPr>
            <m:oMath>
              <m:sSub>
                <m:e>
                  <m:acc>
                    <m:accPr>
                      <m:chr m:val="⃗"/>
                    </m:accPr>
                    <m:e>
                      <m:r>
                        <m:t>π</m:t>
                      </m:r>
                    </m:e>
                  </m:acc>
                </m:e>
                <m:sub>
                  <m:r>
                    <m:t>b</m:t>
                  </m:r>
                  <m:r>
                    <m:t>a</m:t>
                  </m:r>
                  <m:r>
                    <m:t>s</m:t>
                  </m:r>
                  <m:r>
                    <m:t>e</m:t>
                  </m:r>
                </m:sub>
              </m:sSub>
            </m:oMath>
            <w:r>
              <w:t xml:space="preserve"> </w:t>
            </w:r>
            <w:r>
              <w:t xml:space="preserve">[VLF]</w:t>
            </w:r>
          </w:p>
        </w:tc>
        <w:tc>
          <w:tcPr/>
          <w:p>
            <w:pPr>
              <w:pStyle w:val="Compact"/>
              <w:jc w:val="left"/>
            </w:pPr>
            <w:r>
              <w:t xml:space="preserve">0.20</w:t>
            </w:r>
          </w:p>
        </w:tc>
        <w:tc>
          <w:tcPr/>
          <w:p>
            <w:pPr>
              <w:pStyle w:val="Compact"/>
              <w:jc w:val="right"/>
            </w:pPr>
            <w:r>
              <w:t xml:space="preserve">0.21</w:t>
            </w:r>
          </w:p>
        </w:tc>
        <w:tc>
          <w:tcPr/>
          <w:p>
            <w:pPr>
              <w:pStyle w:val="Compact"/>
              <w:jc w:val="left"/>
            </w:pPr>
            <w:r>
              <w:t xml:space="preserve">[0.16, 0.26]</w:t>
            </w:r>
          </w:p>
        </w:tc>
      </w:tr>
      <w:tr>
        <w:tc>
          <w:tcPr/>
          <w:p>
            <w:pPr>
              <w:pStyle w:val="Compact"/>
              <w:jc w:val="left"/>
            </w:pPr>
            <m:oMath>
              <m:sSub>
                <m:e>
                  <m:acc>
                    <m:accPr>
                      <m:chr m:val="⃗"/>
                    </m:accPr>
                    <m:e>
                      <m:r>
                        <m:t>π</m:t>
                      </m:r>
                    </m:e>
                  </m:acc>
                </m:e>
                <m:sub>
                  <m:r>
                    <m:t>b</m:t>
                  </m:r>
                  <m:r>
                    <m:t>a</m:t>
                  </m:r>
                  <m:r>
                    <m:t>s</m:t>
                  </m:r>
                  <m:r>
                    <m:t>e</m:t>
                  </m:r>
                </m:sub>
              </m:sSub>
            </m:oMath>
            <w:r>
              <w:t xml:space="preserve"> </w:t>
            </w:r>
            <w:r>
              <w:t xml:space="preserve">[LF]</w:t>
            </w:r>
          </w:p>
        </w:tc>
        <w:tc>
          <w:tcPr/>
          <w:p>
            <w:pPr>
              <w:pStyle w:val="Compact"/>
              <w:jc w:val="left"/>
            </w:pPr>
            <w:r>
              <w:t xml:space="preserve">0.20</w:t>
            </w:r>
          </w:p>
        </w:tc>
        <w:tc>
          <w:tcPr/>
          <w:p>
            <w:pPr>
              <w:pStyle w:val="Compact"/>
              <w:jc w:val="right"/>
            </w:pPr>
            <w:r>
              <w:t xml:space="preserve">0.20</w:t>
            </w:r>
          </w:p>
        </w:tc>
        <w:tc>
          <w:tcPr/>
          <w:p>
            <w:pPr>
              <w:pStyle w:val="Compact"/>
              <w:jc w:val="left"/>
            </w:pPr>
            <w:r>
              <w:t xml:space="preserve">[0.15, 0.25]</w:t>
            </w:r>
          </w:p>
        </w:tc>
      </w:tr>
      <w:tr>
        <w:tc>
          <w:tcPr/>
          <w:p>
            <w:pPr>
              <w:pStyle w:val="Compact"/>
              <w:jc w:val="left"/>
            </w:pPr>
            <m:oMath>
              <m:sSub>
                <m:e>
                  <m:acc>
                    <m:accPr>
                      <m:chr m:val="⃗"/>
                    </m:accPr>
                    <m:e>
                      <m:r>
                        <m:t>π</m:t>
                      </m:r>
                    </m:e>
                  </m:acc>
                </m:e>
                <m:sub>
                  <m:r>
                    <m:t>b</m:t>
                  </m:r>
                  <m:r>
                    <m:t>a</m:t>
                  </m:r>
                  <m:r>
                    <m:t>s</m:t>
                  </m:r>
                  <m:r>
                    <m:t>e</m:t>
                  </m:r>
                </m:sub>
              </m:sSub>
            </m:oMath>
            <w:r>
              <w:t xml:space="preserve"> </w:t>
            </w:r>
            <w:r>
              <w:t xml:space="preserve">[HF]</w:t>
            </w:r>
          </w:p>
        </w:tc>
        <w:tc>
          <w:tcPr/>
          <w:p>
            <w:pPr>
              <w:pStyle w:val="Compact"/>
              <w:jc w:val="left"/>
            </w:pPr>
            <w:r>
              <w:t xml:space="preserve">0.60</w:t>
            </w:r>
          </w:p>
        </w:tc>
        <w:tc>
          <w:tcPr/>
          <w:p>
            <w:pPr>
              <w:pStyle w:val="Compact"/>
              <w:jc w:val="right"/>
            </w:pPr>
            <w:r>
              <w:t xml:space="preserve">0.59</w:t>
            </w:r>
          </w:p>
        </w:tc>
        <w:tc>
          <w:tcPr/>
          <w:p>
            <w:pPr>
              <w:pStyle w:val="Compact"/>
              <w:jc w:val="left"/>
            </w:pPr>
            <w:r>
              <w:t xml:space="preserve">[0.52, 0.66]</w:t>
            </w:r>
          </w:p>
        </w:tc>
      </w:tr>
      <w:tr>
        <w:tc>
          <w:tcPr/>
          <w:p>
            <w:pPr>
              <w:pStyle w:val="Compact"/>
              <w:jc w:val="left"/>
            </w:pPr>
            <m:oMath>
              <m:sSub>
                <m:e>
                  <m:acc>
                    <m:accPr>
                      <m:chr m:val="⃗"/>
                    </m:accPr>
                    <m:e>
                      <m:r>
                        <m:t>π</m:t>
                      </m:r>
                    </m:e>
                  </m:acc>
                </m:e>
                <m:sub>
                  <m:r>
                    <m:t>p</m:t>
                  </m:r>
                  <m:r>
                    <m:t>e</m:t>
                  </m:r>
                  <m:r>
                    <m:t>r</m:t>
                  </m:r>
                  <m:r>
                    <m:t>t</m:t>
                  </m:r>
                </m:sub>
              </m:sSub>
            </m:oMath>
            <w:r>
              <w:t xml:space="preserve"> </w:t>
            </w:r>
            <w:r>
              <w:t xml:space="preserve">[VLF]</w:t>
            </w:r>
          </w:p>
        </w:tc>
        <w:tc>
          <w:tcPr/>
          <w:p>
            <w:pPr>
              <w:pStyle w:val="Compact"/>
              <w:jc w:val="left"/>
            </w:pPr>
            <w:r>
              <w:t xml:space="preserve">0.40</w:t>
            </w:r>
          </w:p>
        </w:tc>
        <w:tc>
          <w:tcPr/>
          <w:p>
            <w:pPr>
              <w:pStyle w:val="Compact"/>
              <w:jc w:val="right"/>
            </w:pPr>
            <w:r>
              <w:t xml:space="preserve">0.44</w:t>
            </w:r>
          </w:p>
        </w:tc>
        <w:tc>
          <w:tcPr/>
          <w:p>
            <w:pPr>
              <w:pStyle w:val="Compact"/>
              <w:jc w:val="left"/>
            </w:pPr>
            <w:r>
              <w:t xml:space="preserve">[0.36, 0.53]</w:t>
            </w:r>
          </w:p>
        </w:tc>
      </w:tr>
      <w:tr>
        <w:tc>
          <w:tcPr/>
          <w:p>
            <w:pPr>
              <w:pStyle w:val="Compact"/>
              <w:jc w:val="left"/>
            </w:pPr>
            <m:oMath>
              <m:sSub>
                <m:e>
                  <m:acc>
                    <m:accPr>
                      <m:chr m:val="⃗"/>
                    </m:accPr>
                    <m:e>
                      <m:r>
                        <m:t>π</m:t>
                      </m:r>
                    </m:e>
                  </m:acc>
                </m:e>
                <m:sub>
                  <m:r>
                    <m:t>p</m:t>
                  </m:r>
                  <m:r>
                    <m:t>e</m:t>
                  </m:r>
                  <m:r>
                    <m:t>r</m:t>
                  </m:r>
                  <m:r>
                    <m:t>t</m:t>
                  </m:r>
                </m:sub>
              </m:sSub>
            </m:oMath>
            <w:r>
              <w:t xml:space="preserve"> </w:t>
            </w:r>
            <w:r>
              <w:t xml:space="preserve">[LF]</w:t>
            </w:r>
          </w:p>
        </w:tc>
        <w:tc>
          <w:tcPr/>
          <w:p>
            <w:pPr>
              <w:pStyle w:val="Compact"/>
              <w:jc w:val="left"/>
            </w:pPr>
            <w:r>
              <w:t xml:space="preserve">0.40</w:t>
            </w:r>
          </w:p>
        </w:tc>
        <w:tc>
          <w:tcPr/>
          <w:p>
            <w:pPr>
              <w:pStyle w:val="Compact"/>
              <w:jc w:val="right"/>
            </w:pPr>
            <w:r>
              <w:t xml:space="preserve">0.38</w:t>
            </w:r>
          </w:p>
        </w:tc>
        <w:tc>
          <w:tcPr/>
          <w:p>
            <w:pPr>
              <w:pStyle w:val="Compact"/>
              <w:jc w:val="left"/>
            </w:pPr>
            <w:r>
              <w:t xml:space="preserve">[0.31, 0.46]</w:t>
            </w:r>
          </w:p>
        </w:tc>
      </w:tr>
      <w:tr>
        <w:tc>
          <w:tcPr/>
          <w:p>
            <w:pPr>
              <w:pStyle w:val="Compact"/>
              <w:jc w:val="left"/>
            </w:pPr>
            <m:oMath>
              <m:sSub>
                <m:e>
                  <m:acc>
                    <m:accPr>
                      <m:chr m:val="⃗"/>
                    </m:accPr>
                    <m:e>
                      <m:r>
                        <m:t>π</m:t>
                      </m:r>
                    </m:e>
                  </m:acc>
                </m:e>
                <m:sub>
                  <m:r>
                    <m:t>p</m:t>
                  </m:r>
                  <m:r>
                    <m:t>e</m:t>
                  </m:r>
                  <m:r>
                    <m:t>r</m:t>
                  </m:r>
                  <m:r>
                    <m:t>t</m:t>
                  </m:r>
                </m:sub>
              </m:sSub>
            </m:oMath>
            <w:r>
              <w:t xml:space="preserve"> </w:t>
            </w:r>
            <w:r>
              <w:t xml:space="preserve">[HF]</w:t>
            </w:r>
          </w:p>
        </w:tc>
        <w:tc>
          <w:tcPr/>
          <w:p>
            <w:pPr>
              <w:pStyle w:val="Compact"/>
              <w:jc w:val="left"/>
            </w:pPr>
            <w:r>
              <w:t xml:space="preserve">0.20</w:t>
            </w:r>
          </w:p>
        </w:tc>
        <w:tc>
          <w:tcPr/>
          <w:p>
            <w:pPr>
              <w:pStyle w:val="Compact"/>
              <w:jc w:val="right"/>
            </w:pPr>
            <w:r>
              <w:t xml:space="preserve">0.17</w:t>
            </w:r>
          </w:p>
        </w:tc>
        <w:tc>
          <w:tcPr/>
          <w:p>
            <w:pPr>
              <w:pStyle w:val="Compact"/>
              <w:jc w:val="left"/>
            </w:pPr>
            <w:r>
              <w:t xml:space="preserve">[0.12, 0.22]</w:t>
            </w:r>
          </w:p>
        </w:tc>
      </w:tr>
    </w:tbl>
    <w:p>
      <w:pPr>
        <w:pStyle w:val="MDPI41tablecaption"/>
      </w:pPr>
      <w:r>
        <w:rPr>
          <w:b/>
          <w:bCs/>
        </w:rPr>
        <w:t xml:space="preserve">Table 2B. Posterior recovery of ground-truth parameters — Scenario B (incomplete recovery with time-domain and spectral persistence).</w:t>
      </w:r>
      <w:r>
        <w:t xml:space="preserve"> </w:t>
      </w:r>
      <w:r>
        <w:t xml:space="preserve">This table compares the known ground-truth parameter values to the model’s posterior estimates (median and 95% credible interval) for Scenario B. The model successfully recovers all parameters, with the true values consistently falling within the credible intervals.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Truth</w:t>
            </w:r>
          </w:p>
        </w:tc>
        <w:tc>
          <w:tcPr/>
          <w:p>
            <w:pPr>
              <w:pStyle w:val="Compact"/>
              <w:jc w:val="right"/>
            </w:pPr>
            <w:r>
              <w:t xml:space="preserve">Estimate</w:t>
            </w:r>
          </w:p>
        </w:tc>
        <w:tc>
          <w:tcPr/>
          <w:p>
            <w:pPr>
              <w:pStyle w:val="Compact"/>
              <w:jc w:val="left"/>
            </w:pPr>
            <w:r>
              <w:t xml:space="preserve">95% HDI</w:t>
            </w:r>
          </w:p>
        </w:tc>
      </w:tr>
      <w:tr>
        <w:tc>
          <w:tcPr/>
          <w:p>
            <w:pPr>
              <w:pStyle w:val="Compact"/>
              <w:jc w:val="left"/>
            </w:pPr>
            <m:oMath>
              <m:r>
                <m:t>λ</m:t>
              </m:r>
            </m:oMath>
          </w:p>
        </w:tc>
        <w:tc>
          <w:tcPr/>
          <w:p>
            <w:pPr>
              <w:pStyle w:val="Compact"/>
              <w:jc w:val="left"/>
            </w:pPr>
            <w:r>
              <w:t xml:space="preserve">2.00</w:t>
            </w:r>
          </w:p>
        </w:tc>
        <w:tc>
          <w:tcPr/>
          <w:p>
            <w:pPr>
              <w:pStyle w:val="Compact"/>
              <w:jc w:val="right"/>
            </w:pPr>
            <w:r>
              <w:t xml:space="preserve">1.98</w:t>
            </w:r>
          </w:p>
        </w:tc>
        <w:tc>
          <w:tcPr/>
          <w:p>
            <w:pPr>
              <w:pStyle w:val="Compact"/>
              <w:jc w:val="left"/>
            </w:pPr>
            <w:r>
              <w:t xml:space="preserve">[1.9, 2.06]</w:t>
            </w:r>
          </w:p>
        </w:tc>
      </w:tr>
      <w:tr>
        <w:tc>
          <w:tcPr/>
          <w:p>
            <w:pPr>
              <w:pStyle w:val="Compact"/>
              <w:jc w:val="left"/>
            </w:pPr>
            <m:oMath>
              <m:r>
                <m:t>ϕ</m:t>
              </m:r>
            </m:oMath>
          </w:p>
        </w:tc>
        <w:tc>
          <w:tcPr/>
          <w:p>
            <w:pPr>
              <w:pStyle w:val="Compact"/>
              <w:jc w:val="left"/>
            </w:pPr>
            <w:r>
              <w:t xml:space="preserve">3.00</w:t>
            </w:r>
          </w:p>
        </w:tc>
        <w:tc>
          <w:tcPr/>
          <w:p>
            <w:pPr>
              <w:pStyle w:val="Compact"/>
              <w:jc w:val="right"/>
            </w:pPr>
            <w:r>
              <w:t xml:space="preserve">2.92</w:t>
            </w:r>
          </w:p>
        </w:tc>
        <w:tc>
          <w:tcPr/>
          <w:p>
            <w:pPr>
              <w:pStyle w:val="Compact"/>
              <w:jc w:val="left"/>
            </w:pPr>
            <w:r>
              <w:t xml:space="preserve">[2.65, 3.19]</w:t>
            </w:r>
          </w:p>
        </w:tc>
      </w:tr>
      <w:tr>
        <w:tc>
          <w:tcPr/>
          <w:p>
            <w:pPr>
              <w:pStyle w:val="Compact"/>
              <w:jc w:val="left"/>
            </w:pPr>
            <m:oMath>
              <m:r>
                <m:t>τ</m:t>
              </m:r>
            </m:oMath>
          </w:p>
        </w:tc>
        <w:tc>
          <w:tcPr/>
          <w:p>
            <w:pPr>
              <w:pStyle w:val="Compact"/>
              <w:jc w:val="left"/>
            </w:pPr>
            <w:r>
              <w:t xml:space="preserve">6.00</w:t>
            </w:r>
          </w:p>
        </w:tc>
        <w:tc>
          <w:tcPr/>
          <w:p>
            <w:pPr>
              <w:pStyle w:val="Compact"/>
              <w:jc w:val="right"/>
            </w:pPr>
            <w:r>
              <w:t xml:space="preserve">6.02</w:t>
            </w:r>
          </w:p>
        </w:tc>
        <w:tc>
          <w:tcPr/>
          <w:p>
            <w:pPr>
              <w:pStyle w:val="Compact"/>
              <w:jc w:val="left"/>
            </w:pPr>
            <w:r>
              <w:t xml:space="preserve">[5.99, 6.05]</w:t>
            </w:r>
          </w:p>
        </w:tc>
      </w:tr>
      <w:tr>
        <w:tc>
          <w:tcPr/>
          <w:p>
            <w:pPr>
              <w:pStyle w:val="Compact"/>
              <w:jc w:val="left"/>
            </w:pPr>
            <m:oMath>
              <m:r>
                <m:t>δ</m:t>
              </m:r>
            </m:oMath>
          </w:p>
        </w:tc>
        <w:tc>
          <w:tcPr/>
          <w:p>
            <w:pPr>
              <w:pStyle w:val="Compact"/>
              <w:jc w:val="left"/>
            </w:pPr>
            <w:r>
              <w:t xml:space="preserve">3.00</w:t>
            </w:r>
          </w:p>
        </w:tc>
        <w:tc>
          <w:tcPr/>
          <w:p>
            <w:pPr>
              <w:pStyle w:val="Compact"/>
              <w:jc w:val="right"/>
            </w:pPr>
            <w:r>
              <w:t xml:space="preserve">2.97</w:t>
            </w:r>
          </w:p>
        </w:tc>
        <w:tc>
          <w:tcPr/>
          <w:p>
            <w:pPr>
              <w:pStyle w:val="Compact"/>
              <w:jc w:val="left"/>
            </w:pPr>
            <w:r>
              <w:t xml:space="preserve">[2.9, 3.03]</w:t>
            </w:r>
          </w:p>
        </w:tc>
      </w:tr>
      <w:tr>
        <w:tc>
          <w:tcPr/>
          <w:p>
            <w:pPr>
              <w:pStyle w:val="Compact"/>
              <w:jc w:val="left"/>
            </w:pPr>
            <m:oMath>
              <m:sSub>
                <m:e>
                  <m:r>
                    <m:t>α</m:t>
                  </m:r>
                </m:e>
                <m:sub>
                  <m:r>
                    <m:t>r</m:t>
                  </m:r>
                </m:sub>
              </m:sSub>
            </m:oMath>
          </w:p>
        </w:tc>
        <w:tc>
          <w:tcPr/>
          <w:p>
            <w:pPr>
              <w:pStyle w:val="Compact"/>
              <w:jc w:val="left"/>
            </w:pPr>
            <w:r>
              <w:t xml:space="preserve">700.00</w:t>
            </w:r>
          </w:p>
        </w:tc>
        <w:tc>
          <w:tcPr/>
          <w:p>
            <w:pPr>
              <w:pStyle w:val="Compact"/>
              <w:jc w:val="right"/>
            </w:pPr>
            <w:r>
              <w:t xml:space="preserve">700.09</w:t>
            </w:r>
          </w:p>
        </w:tc>
        <w:tc>
          <w:tcPr/>
          <w:p>
            <w:pPr>
              <w:pStyle w:val="Compact"/>
              <w:jc w:val="left"/>
            </w:pPr>
            <w:r>
              <w:t xml:space="preserve">[698.89, 701.26]</w:t>
            </w:r>
          </w:p>
        </w:tc>
      </w:tr>
      <w:tr>
        <w:tc>
          <w:tcPr/>
          <w:p>
            <w:pPr>
              <w:pStyle w:val="Compact"/>
              <w:jc w:val="left"/>
            </w:pPr>
            <m:oMath>
              <m:sSub>
                <m:e>
                  <m:r>
                    <m:t>β</m:t>
                  </m:r>
                </m:e>
                <m:sub>
                  <m:r>
                    <m:t>r</m:t>
                  </m:r>
                </m:sub>
              </m:sSub>
            </m:oMath>
          </w:p>
        </w:tc>
        <w:tc>
          <w:tcPr/>
          <w:p>
            <w:pPr>
              <w:pStyle w:val="Compact"/>
              <w:jc w:val="left"/>
            </w:pPr>
            <w:r>
              <w:t xml:space="preserve">-350.00</w:t>
            </w:r>
          </w:p>
        </w:tc>
        <w:tc>
          <w:tcPr/>
          <w:p>
            <w:pPr>
              <w:pStyle w:val="Compact"/>
              <w:jc w:val="right"/>
            </w:pPr>
            <w:r>
              <w:t xml:space="preserve">-353.18</w:t>
            </w:r>
          </w:p>
        </w:tc>
        <w:tc>
          <w:tcPr/>
          <w:p>
            <w:pPr>
              <w:pStyle w:val="Compact"/>
              <w:jc w:val="left"/>
            </w:pPr>
            <w:r>
              <w:t xml:space="preserve">[-359.39, -346.9]</w:t>
            </w:r>
          </w:p>
        </w:tc>
      </w:tr>
      <w:tr>
        <w:tc>
          <w:tcPr/>
          <w:p>
            <w:pPr>
              <w:pStyle w:val="Compact"/>
              <w:jc w:val="left"/>
            </w:pPr>
            <m:oMath>
              <m:sSub>
                <m:e>
                  <m:r>
                    <m:t>c</m:t>
                  </m:r>
                </m:e>
                <m:sub>
                  <m:r>
                    <m:t>r</m:t>
                  </m:r>
                </m:sub>
              </m:sSub>
            </m:oMath>
          </w:p>
        </w:tc>
        <w:tc>
          <w:tcPr/>
          <w:p>
            <w:pPr>
              <w:pStyle w:val="Compact"/>
              <w:jc w:val="left"/>
            </w:pPr>
            <w:r>
              <w:t xml:space="preserve">0.60</w:t>
            </w:r>
          </w:p>
        </w:tc>
        <w:tc>
          <w:tcPr/>
          <w:p>
            <w:pPr>
              <w:pStyle w:val="Compact"/>
              <w:jc w:val="right"/>
            </w:pPr>
            <w:r>
              <w:t xml:space="preserve">0.61</w:t>
            </w:r>
          </w:p>
        </w:tc>
        <w:tc>
          <w:tcPr/>
          <w:p>
            <w:pPr>
              <w:pStyle w:val="Compact"/>
              <w:jc w:val="left"/>
            </w:pPr>
            <w:r>
              <w:t xml:space="preserve">[0.6, 0.61]</w:t>
            </w:r>
          </w:p>
        </w:tc>
      </w:tr>
      <w:tr>
        <w:tc>
          <w:tcPr/>
          <w:p>
            <w:pPr>
              <w:pStyle w:val="Compact"/>
              <w:jc w:val="left"/>
            </w:pPr>
            <m:oMath>
              <m:sSub>
                <m:e>
                  <m:r>
                    <m:t>α</m:t>
                  </m:r>
                </m:e>
                <m:sub>
                  <m:r>
                    <m:t>s</m:t>
                  </m:r>
                </m:sub>
              </m:sSub>
            </m:oMath>
          </w:p>
        </w:tc>
        <w:tc>
          <w:tcPr/>
          <w:p>
            <w:pPr>
              <w:pStyle w:val="Compact"/>
              <w:jc w:val="left"/>
            </w:pPr>
            <w:r>
              <w:t xml:space="preserve">40.00</w:t>
            </w:r>
          </w:p>
        </w:tc>
        <w:tc>
          <w:tcPr/>
          <w:p>
            <w:pPr>
              <w:pStyle w:val="Compact"/>
              <w:jc w:val="right"/>
            </w:pPr>
            <w:r>
              <w:t xml:space="preserve">39.56</w:t>
            </w:r>
          </w:p>
        </w:tc>
        <w:tc>
          <w:tcPr/>
          <w:p>
            <w:pPr>
              <w:pStyle w:val="Compact"/>
              <w:jc w:val="left"/>
            </w:pPr>
            <w:r>
              <w:t xml:space="preserve">[38.63, 40.49]</w:t>
            </w:r>
          </w:p>
        </w:tc>
      </w:tr>
      <w:tr>
        <w:tc>
          <w:tcPr/>
          <w:p>
            <w:pPr>
              <w:pStyle w:val="Compact"/>
              <w:jc w:val="left"/>
            </w:pPr>
            <m:oMath>
              <m:sSub>
                <m:e>
                  <m:r>
                    <m:t>β</m:t>
                  </m:r>
                </m:e>
                <m:sub>
                  <m:r>
                    <m:t>s</m:t>
                  </m:r>
                </m:sub>
              </m:sSub>
            </m:oMath>
          </w:p>
        </w:tc>
        <w:tc>
          <w:tcPr/>
          <w:p>
            <w:pPr>
              <w:pStyle w:val="Compact"/>
              <w:jc w:val="left"/>
            </w:pPr>
            <w:r>
              <w:t xml:space="preserve">-20.00</w:t>
            </w:r>
          </w:p>
        </w:tc>
        <w:tc>
          <w:tcPr/>
          <w:p>
            <w:pPr>
              <w:pStyle w:val="Compact"/>
              <w:jc w:val="right"/>
            </w:pPr>
            <w:r>
              <w:t xml:space="preserve">-20.14</w:t>
            </w:r>
          </w:p>
        </w:tc>
        <w:tc>
          <w:tcPr/>
          <w:p>
            <w:pPr>
              <w:pStyle w:val="Compact"/>
              <w:jc w:val="left"/>
            </w:pPr>
            <w:r>
              <w:t xml:space="preserve">[-21.93, -18.43]</w:t>
            </w:r>
          </w:p>
        </w:tc>
      </w:tr>
      <w:tr>
        <w:tc>
          <w:tcPr/>
          <w:p>
            <w:pPr>
              <w:pStyle w:val="Compact"/>
              <w:jc w:val="left"/>
            </w:pPr>
            <m:oMath>
              <m:sSub>
                <m:e>
                  <m:r>
                    <m:t>c</m:t>
                  </m:r>
                </m:e>
                <m:sub>
                  <m:r>
                    <m:t>s</m:t>
                  </m:r>
                </m:sub>
              </m:sSub>
            </m:oMath>
          </w:p>
        </w:tc>
        <w:tc>
          <w:tcPr/>
          <w:p>
            <w:pPr>
              <w:pStyle w:val="Compact"/>
              <w:jc w:val="left"/>
            </w:pPr>
            <w:r>
              <w:t xml:space="preserve">0.60</w:t>
            </w:r>
          </w:p>
        </w:tc>
        <w:tc>
          <w:tcPr/>
          <w:p>
            <w:pPr>
              <w:pStyle w:val="Compact"/>
              <w:jc w:val="right"/>
            </w:pPr>
            <w:r>
              <w:t xml:space="preserve">0.63</w:t>
            </w:r>
          </w:p>
        </w:tc>
        <w:tc>
          <w:tcPr/>
          <w:p>
            <w:pPr>
              <w:pStyle w:val="Compact"/>
              <w:jc w:val="left"/>
            </w:pPr>
            <w:r>
              <w:t xml:space="preserve">[0.58, 0.69]</w:t>
            </w:r>
          </w:p>
        </w:tc>
      </w:tr>
      <w:tr>
        <w:tc>
          <w:tcPr/>
          <w:p>
            <w:pPr>
              <w:pStyle w:val="Compact"/>
              <w:jc w:val="left"/>
            </w:pPr>
            <m:oMath>
              <m:sSub>
                <m:e>
                  <m:r>
                    <m:t>c</m:t>
                  </m:r>
                </m:e>
                <m:sub>
                  <m:r>
                    <m:t>c</m:t>
                  </m:r>
                </m:sub>
              </m:sSub>
            </m:oMath>
          </w:p>
        </w:tc>
        <w:tc>
          <w:tcPr/>
          <w:p>
            <w:pPr>
              <w:pStyle w:val="Compact"/>
              <w:jc w:val="left"/>
            </w:pPr>
            <w:r>
              <w:t xml:space="preserve">0.40</w:t>
            </w:r>
          </w:p>
        </w:tc>
        <w:tc>
          <w:tcPr/>
          <w:p>
            <w:pPr>
              <w:pStyle w:val="Compact"/>
              <w:jc w:val="right"/>
            </w:pPr>
            <w:r>
              <w:t xml:space="preserve">0.41</w:t>
            </w:r>
          </w:p>
        </w:tc>
        <w:tc>
          <w:tcPr/>
          <w:p>
            <w:pPr>
              <w:pStyle w:val="Compact"/>
              <w:jc w:val="left"/>
            </w:pPr>
            <w:r>
              <w:t xml:space="preserve">[0.36, 0.46]</w:t>
            </w:r>
          </w:p>
        </w:tc>
      </w:tr>
      <w:tr>
        <w:tc>
          <w:tcPr/>
          <w:p>
            <w:pPr>
              <w:pStyle w:val="Compact"/>
              <w:jc w:val="left"/>
            </w:pPr>
            <m:oMath>
              <m:r>
                <m:t>w</m:t>
              </m:r>
            </m:oMath>
          </w:p>
        </w:tc>
        <w:tc>
          <w:tcPr/>
          <w:p>
            <w:pPr>
              <w:pStyle w:val="Compact"/>
              <w:jc w:val="left"/>
            </w:pPr>
            <w:r>
              <w:t xml:space="preserve">0.90</w:t>
            </w:r>
          </w:p>
        </w:tc>
        <w:tc>
          <w:tcPr/>
          <w:p>
            <w:pPr>
              <w:pStyle w:val="Compact"/>
              <w:jc w:val="right"/>
            </w:pPr>
            <w:r>
              <w:t xml:space="preserve">0.90</w:t>
            </w:r>
          </w:p>
        </w:tc>
        <w:tc>
          <w:tcPr/>
          <w:p>
            <w:pPr>
              <w:pStyle w:val="Compact"/>
              <w:jc w:val="left"/>
            </w:pPr>
            <w:r>
              <w:t xml:space="preserve">[0.89, 0.9]</w:t>
            </w:r>
          </w:p>
        </w:tc>
      </w:tr>
      <w:tr>
        <w:tc>
          <w:tcPr/>
          <w:p>
            <w:pPr>
              <w:pStyle w:val="Compact"/>
              <w:jc w:val="left"/>
            </w:pPr>
            <m:oMath>
              <m:sSub>
                <m:e>
                  <m:acc>
                    <m:accPr>
                      <m:chr m:val="⃗"/>
                    </m:accPr>
                    <m:e>
                      <m:r>
                        <m:t>π</m:t>
                      </m:r>
                    </m:e>
                  </m:acc>
                </m:e>
                <m:sub>
                  <m:r>
                    <m:t>b</m:t>
                  </m:r>
                  <m:r>
                    <m:t>a</m:t>
                  </m:r>
                  <m:r>
                    <m:t>s</m:t>
                  </m:r>
                  <m:r>
                    <m:t>e</m:t>
                  </m:r>
                </m:sub>
              </m:sSub>
            </m:oMath>
            <w:r>
              <w:t xml:space="preserve"> </w:t>
            </w:r>
            <w:r>
              <w:t xml:space="preserve">[VLF]</w:t>
            </w:r>
          </w:p>
        </w:tc>
        <w:tc>
          <w:tcPr/>
          <w:p>
            <w:pPr>
              <w:pStyle w:val="Compact"/>
              <w:jc w:val="left"/>
            </w:pPr>
            <w:r>
              <w:t xml:space="preserve">0.20</w:t>
            </w:r>
          </w:p>
        </w:tc>
        <w:tc>
          <w:tcPr/>
          <w:p>
            <w:pPr>
              <w:pStyle w:val="Compact"/>
              <w:jc w:val="right"/>
            </w:pPr>
            <w:r>
              <w:t xml:space="preserve">0.21</w:t>
            </w:r>
          </w:p>
        </w:tc>
        <w:tc>
          <w:tcPr/>
          <w:p>
            <w:pPr>
              <w:pStyle w:val="Compact"/>
              <w:jc w:val="left"/>
            </w:pPr>
            <w:r>
              <w:t xml:space="preserve">[0.16, 0.27]</w:t>
            </w:r>
          </w:p>
        </w:tc>
      </w:tr>
      <w:tr>
        <w:tc>
          <w:tcPr/>
          <w:p>
            <w:pPr>
              <w:pStyle w:val="Compact"/>
              <w:jc w:val="left"/>
            </w:pPr>
            <m:oMath>
              <m:sSub>
                <m:e>
                  <m:acc>
                    <m:accPr>
                      <m:chr m:val="⃗"/>
                    </m:accPr>
                    <m:e>
                      <m:r>
                        <m:t>π</m:t>
                      </m:r>
                    </m:e>
                  </m:acc>
                </m:e>
                <m:sub>
                  <m:r>
                    <m:t>b</m:t>
                  </m:r>
                  <m:r>
                    <m:t>a</m:t>
                  </m:r>
                  <m:r>
                    <m:t>s</m:t>
                  </m:r>
                  <m:r>
                    <m:t>e</m:t>
                  </m:r>
                </m:sub>
              </m:sSub>
            </m:oMath>
            <w:r>
              <w:t xml:space="preserve"> </w:t>
            </w:r>
            <w:r>
              <w:t xml:space="preserve">[LF]</w:t>
            </w:r>
          </w:p>
        </w:tc>
        <w:tc>
          <w:tcPr/>
          <w:p>
            <w:pPr>
              <w:pStyle w:val="Compact"/>
              <w:jc w:val="left"/>
            </w:pPr>
            <w:r>
              <w:t xml:space="preserve">0.20</w:t>
            </w:r>
          </w:p>
        </w:tc>
        <w:tc>
          <w:tcPr/>
          <w:p>
            <w:pPr>
              <w:pStyle w:val="Compact"/>
              <w:jc w:val="right"/>
            </w:pPr>
            <w:r>
              <w:t xml:space="preserve">0.20</w:t>
            </w:r>
          </w:p>
        </w:tc>
        <w:tc>
          <w:tcPr/>
          <w:p>
            <w:pPr>
              <w:pStyle w:val="Compact"/>
              <w:jc w:val="left"/>
            </w:pPr>
            <w:r>
              <w:t xml:space="preserve">[0.15, 0.26]</w:t>
            </w:r>
          </w:p>
        </w:tc>
      </w:tr>
      <w:tr>
        <w:tc>
          <w:tcPr/>
          <w:p>
            <w:pPr>
              <w:pStyle w:val="Compact"/>
              <w:jc w:val="left"/>
            </w:pPr>
            <m:oMath>
              <m:sSub>
                <m:e>
                  <m:acc>
                    <m:accPr>
                      <m:chr m:val="⃗"/>
                    </m:accPr>
                    <m:e>
                      <m:r>
                        <m:t>π</m:t>
                      </m:r>
                    </m:e>
                  </m:acc>
                </m:e>
                <m:sub>
                  <m:r>
                    <m:t>b</m:t>
                  </m:r>
                  <m:r>
                    <m:t>a</m:t>
                  </m:r>
                  <m:r>
                    <m:t>s</m:t>
                  </m:r>
                  <m:r>
                    <m:t>e</m:t>
                  </m:r>
                </m:sub>
              </m:sSub>
            </m:oMath>
            <w:r>
              <w:t xml:space="preserve"> </w:t>
            </w:r>
            <w:r>
              <w:t xml:space="preserve">[HF]</w:t>
            </w:r>
          </w:p>
        </w:tc>
        <w:tc>
          <w:tcPr/>
          <w:p>
            <w:pPr>
              <w:pStyle w:val="Compact"/>
              <w:jc w:val="left"/>
            </w:pPr>
            <w:r>
              <w:t xml:space="preserve">0.60</w:t>
            </w:r>
          </w:p>
        </w:tc>
        <w:tc>
          <w:tcPr/>
          <w:p>
            <w:pPr>
              <w:pStyle w:val="Compact"/>
              <w:jc w:val="right"/>
            </w:pPr>
            <w:r>
              <w:t xml:space="preserve">0.58</w:t>
            </w:r>
          </w:p>
        </w:tc>
        <w:tc>
          <w:tcPr/>
          <w:p>
            <w:pPr>
              <w:pStyle w:val="Compact"/>
              <w:jc w:val="left"/>
            </w:pPr>
            <w:r>
              <w:t xml:space="preserve">[0.51, 0.66]</w:t>
            </w:r>
          </w:p>
        </w:tc>
      </w:tr>
      <w:tr>
        <w:tc>
          <w:tcPr/>
          <w:p>
            <w:pPr>
              <w:pStyle w:val="Compact"/>
              <w:jc w:val="left"/>
            </w:pPr>
            <m:oMath>
              <m:sSub>
                <m:e>
                  <m:acc>
                    <m:accPr>
                      <m:chr m:val="⃗"/>
                    </m:accPr>
                    <m:e>
                      <m:r>
                        <m:t>π</m:t>
                      </m:r>
                    </m:e>
                  </m:acc>
                </m:e>
                <m:sub>
                  <m:r>
                    <m:t>p</m:t>
                  </m:r>
                  <m:r>
                    <m:t>e</m:t>
                  </m:r>
                  <m:r>
                    <m:t>r</m:t>
                  </m:r>
                  <m:r>
                    <m:t>t</m:t>
                  </m:r>
                </m:sub>
              </m:sSub>
            </m:oMath>
            <w:r>
              <w:t xml:space="preserve"> </w:t>
            </w:r>
            <w:r>
              <w:t xml:space="preserve">[VLF]</w:t>
            </w:r>
          </w:p>
        </w:tc>
        <w:tc>
          <w:tcPr/>
          <w:p>
            <w:pPr>
              <w:pStyle w:val="Compact"/>
              <w:jc w:val="left"/>
            </w:pPr>
            <w:r>
              <w:t xml:space="preserve">0.40</w:t>
            </w:r>
          </w:p>
        </w:tc>
        <w:tc>
          <w:tcPr/>
          <w:p>
            <w:pPr>
              <w:pStyle w:val="Compact"/>
              <w:jc w:val="right"/>
            </w:pPr>
            <w:r>
              <w:t xml:space="preserve">0.44</w:t>
            </w:r>
          </w:p>
        </w:tc>
        <w:tc>
          <w:tcPr/>
          <w:p>
            <w:pPr>
              <w:pStyle w:val="Compact"/>
              <w:jc w:val="left"/>
            </w:pPr>
            <w:r>
              <w:t xml:space="preserve">[0.36, 0.52]</w:t>
            </w:r>
          </w:p>
        </w:tc>
      </w:tr>
      <w:tr>
        <w:tc>
          <w:tcPr/>
          <w:p>
            <w:pPr>
              <w:pStyle w:val="Compact"/>
              <w:jc w:val="left"/>
            </w:pPr>
            <m:oMath>
              <m:sSub>
                <m:e>
                  <m:acc>
                    <m:accPr>
                      <m:chr m:val="⃗"/>
                    </m:accPr>
                    <m:e>
                      <m:r>
                        <m:t>π</m:t>
                      </m:r>
                    </m:e>
                  </m:acc>
                </m:e>
                <m:sub>
                  <m:r>
                    <m:t>p</m:t>
                  </m:r>
                  <m:r>
                    <m:t>e</m:t>
                  </m:r>
                  <m:r>
                    <m:t>r</m:t>
                  </m:r>
                  <m:r>
                    <m:t>t</m:t>
                  </m:r>
                </m:sub>
              </m:sSub>
            </m:oMath>
            <w:r>
              <w:t xml:space="preserve"> </w:t>
            </w:r>
            <w:r>
              <w:t xml:space="preserve">[LF]</w:t>
            </w:r>
          </w:p>
        </w:tc>
        <w:tc>
          <w:tcPr/>
          <w:p>
            <w:pPr>
              <w:pStyle w:val="Compact"/>
              <w:jc w:val="left"/>
            </w:pPr>
            <w:r>
              <w:t xml:space="preserve">0.40</w:t>
            </w:r>
          </w:p>
        </w:tc>
        <w:tc>
          <w:tcPr/>
          <w:p>
            <w:pPr>
              <w:pStyle w:val="Compact"/>
              <w:jc w:val="right"/>
            </w:pPr>
            <w:r>
              <w:t xml:space="preserve">0.39</w:t>
            </w:r>
          </w:p>
        </w:tc>
        <w:tc>
          <w:tcPr/>
          <w:p>
            <w:pPr>
              <w:pStyle w:val="Compact"/>
              <w:jc w:val="left"/>
            </w:pPr>
            <w:r>
              <w:t xml:space="preserve">[0.31, 0.47]</w:t>
            </w:r>
          </w:p>
        </w:tc>
      </w:tr>
      <w:tr>
        <w:tc>
          <w:tcPr/>
          <w:p>
            <w:pPr>
              <w:pStyle w:val="Compact"/>
              <w:jc w:val="left"/>
            </w:pPr>
            <m:oMath>
              <m:sSub>
                <m:e>
                  <m:acc>
                    <m:accPr>
                      <m:chr m:val="⃗"/>
                    </m:accPr>
                    <m:e>
                      <m:r>
                        <m:t>π</m:t>
                      </m:r>
                    </m:e>
                  </m:acc>
                </m:e>
                <m:sub>
                  <m:r>
                    <m:t>p</m:t>
                  </m:r>
                  <m:r>
                    <m:t>e</m:t>
                  </m:r>
                  <m:r>
                    <m:t>r</m:t>
                  </m:r>
                  <m:r>
                    <m:t>t</m:t>
                  </m:r>
                </m:sub>
              </m:sSub>
            </m:oMath>
            <w:r>
              <w:t xml:space="preserve"> </w:t>
            </w:r>
            <w:r>
              <w:t xml:space="preserve">[HF]</w:t>
            </w:r>
          </w:p>
        </w:tc>
        <w:tc>
          <w:tcPr/>
          <w:p>
            <w:pPr>
              <w:pStyle w:val="Compact"/>
              <w:jc w:val="left"/>
            </w:pPr>
            <w:r>
              <w:t xml:space="preserve">0.20</w:t>
            </w:r>
          </w:p>
        </w:tc>
        <w:tc>
          <w:tcPr/>
          <w:p>
            <w:pPr>
              <w:pStyle w:val="Compact"/>
              <w:jc w:val="right"/>
            </w:pPr>
            <w:r>
              <w:t xml:space="preserve">0.17</w:t>
            </w:r>
          </w:p>
        </w:tc>
        <w:tc>
          <w:tcPr/>
          <w:p>
            <w:pPr>
              <w:pStyle w:val="Compact"/>
              <w:jc w:val="left"/>
            </w:pPr>
            <w:r>
              <w:t xml:space="preserve">[0.12, 0.22]</w:t>
            </w:r>
          </w:p>
        </w:tc>
      </w:tr>
    </w:tbl>
    <w:p>
      <w:pPr>
        <w:pStyle w:val="MDPI41tablecaption"/>
      </w:pPr>
      <w:r>
        <w:rPr>
          <w:b/>
          <w:bCs/>
        </w:rPr>
        <w:t xml:space="preserve">Table 2C. Posterior recovery of ground-truth parameters — Scenario C (incomplete spectral, complete time-domain recovery, high noise).</w:t>
      </w:r>
      <w:r>
        <w:t xml:space="preserve"> </w:t>
      </w:r>
      <w:r>
        <w:t xml:space="preserve">This table compares the known ground-truth parameter values to the model’s posterior estimates (median and 95% credible interval) for Scenario C. The model successfully recovers all parameters, with the true values consistently falling within the credible intervals.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Parameter</w:t>
            </w:r>
          </w:p>
        </w:tc>
        <w:tc>
          <w:tcPr/>
          <w:p>
            <w:pPr>
              <w:pStyle w:val="Compact"/>
              <w:jc w:val="left"/>
            </w:pPr>
            <w:r>
              <w:t xml:space="preserve">Truth</w:t>
            </w:r>
          </w:p>
        </w:tc>
        <w:tc>
          <w:tcPr/>
          <w:p>
            <w:pPr>
              <w:pStyle w:val="Compact"/>
              <w:jc w:val="right"/>
            </w:pPr>
            <w:r>
              <w:t xml:space="preserve">Estimate</w:t>
            </w:r>
          </w:p>
        </w:tc>
        <w:tc>
          <w:tcPr/>
          <w:p>
            <w:pPr>
              <w:pStyle w:val="Compact"/>
              <w:jc w:val="left"/>
            </w:pPr>
            <w:r>
              <w:t xml:space="preserve">95% HDI</w:t>
            </w:r>
          </w:p>
        </w:tc>
      </w:tr>
      <w:tr>
        <w:tc>
          <w:tcPr/>
          <w:p>
            <w:pPr>
              <w:pStyle w:val="Compact"/>
              <w:jc w:val="left"/>
            </w:pPr>
            <m:oMath>
              <m:r>
                <m:t>λ</m:t>
              </m:r>
            </m:oMath>
          </w:p>
        </w:tc>
        <w:tc>
          <w:tcPr/>
          <w:p>
            <w:pPr>
              <w:pStyle w:val="Compact"/>
              <w:jc w:val="left"/>
            </w:pPr>
            <w:r>
              <w:t xml:space="preserve">2.00</w:t>
            </w:r>
          </w:p>
        </w:tc>
        <w:tc>
          <w:tcPr/>
          <w:p>
            <w:pPr>
              <w:pStyle w:val="Compact"/>
              <w:jc w:val="right"/>
            </w:pPr>
            <w:r>
              <w:t xml:space="preserve">1.97</w:t>
            </w:r>
          </w:p>
        </w:tc>
        <w:tc>
          <w:tcPr/>
          <w:p>
            <w:pPr>
              <w:pStyle w:val="Compact"/>
              <w:jc w:val="left"/>
            </w:pPr>
            <w:r>
              <w:t xml:space="preserve">[1.82, 2.13]</w:t>
            </w:r>
          </w:p>
        </w:tc>
      </w:tr>
      <w:tr>
        <w:tc>
          <w:tcPr/>
          <w:p>
            <w:pPr>
              <w:pStyle w:val="Compact"/>
              <w:jc w:val="left"/>
            </w:pPr>
            <m:oMath>
              <m:r>
                <m:t>ϕ</m:t>
              </m:r>
            </m:oMath>
          </w:p>
        </w:tc>
        <w:tc>
          <w:tcPr/>
          <w:p>
            <w:pPr>
              <w:pStyle w:val="Compact"/>
              <w:jc w:val="left"/>
            </w:pPr>
            <w:r>
              <w:t xml:space="preserve">3.00</w:t>
            </w:r>
          </w:p>
        </w:tc>
        <w:tc>
          <w:tcPr/>
          <w:p>
            <w:pPr>
              <w:pStyle w:val="Compact"/>
              <w:jc w:val="right"/>
            </w:pPr>
            <w:r>
              <w:t xml:space="preserve">2.91</w:t>
            </w:r>
          </w:p>
        </w:tc>
        <w:tc>
          <w:tcPr/>
          <w:p>
            <w:pPr>
              <w:pStyle w:val="Compact"/>
              <w:jc w:val="left"/>
            </w:pPr>
            <w:r>
              <w:t xml:space="preserve">[2.6, 3.22]</w:t>
            </w:r>
          </w:p>
        </w:tc>
      </w:tr>
      <w:tr>
        <w:tc>
          <w:tcPr/>
          <w:p>
            <w:pPr>
              <w:pStyle w:val="Compact"/>
              <w:jc w:val="left"/>
            </w:pPr>
            <m:oMath>
              <m:r>
                <m:t>τ</m:t>
              </m:r>
            </m:oMath>
          </w:p>
        </w:tc>
        <w:tc>
          <w:tcPr/>
          <w:p>
            <w:pPr>
              <w:pStyle w:val="Compact"/>
              <w:jc w:val="left"/>
            </w:pPr>
            <w:r>
              <w:t xml:space="preserve">6.00</w:t>
            </w:r>
          </w:p>
        </w:tc>
        <w:tc>
          <w:tcPr/>
          <w:p>
            <w:pPr>
              <w:pStyle w:val="Compact"/>
              <w:jc w:val="right"/>
            </w:pPr>
            <w:r>
              <w:t xml:space="preserve">6.03</w:t>
            </w:r>
          </w:p>
        </w:tc>
        <w:tc>
          <w:tcPr/>
          <w:p>
            <w:pPr>
              <w:pStyle w:val="Compact"/>
              <w:jc w:val="left"/>
            </w:pPr>
            <w:r>
              <w:t xml:space="preserve">[5.98, 6.08]</w:t>
            </w:r>
          </w:p>
        </w:tc>
      </w:tr>
      <w:tr>
        <w:tc>
          <w:tcPr/>
          <w:p>
            <w:pPr>
              <w:pStyle w:val="Compact"/>
              <w:jc w:val="left"/>
            </w:pPr>
            <m:oMath>
              <m:r>
                <m:t>δ</m:t>
              </m:r>
            </m:oMath>
          </w:p>
        </w:tc>
        <w:tc>
          <w:tcPr/>
          <w:p>
            <w:pPr>
              <w:pStyle w:val="Compact"/>
              <w:jc w:val="left"/>
            </w:pPr>
            <w:r>
              <w:t xml:space="preserve">3.00</w:t>
            </w:r>
          </w:p>
        </w:tc>
        <w:tc>
          <w:tcPr/>
          <w:p>
            <w:pPr>
              <w:pStyle w:val="Compact"/>
              <w:jc w:val="right"/>
            </w:pPr>
            <w:r>
              <w:t xml:space="preserve">2.96</w:t>
            </w:r>
          </w:p>
        </w:tc>
        <w:tc>
          <w:tcPr/>
          <w:p>
            <w:pPr>
              <w:pStyle w:val="Compact"/>
              <w:jc w:val="left"/>
            </w:pPr>
            <w:r>
              <w:t xml:space="preserve">[2.87, 3.04]</w:t>
            </w:r>
          </w:p>
        </w:tc>
      </w:tr>
      <w:tr>
        <w:tc>
          <w:tcPr/>
          <w:p>
            <w:pPr>
              <w:pStyle w:val="Compact"/>
              <w:jc w:val="left"/>
            </w:pPr>
            <m:oMath>
              <m:sSub>
                <m:e>
                  <m:r>
                    <m:t>α</m:t>
                  </m:r>
                </m:e>
                <m:sub>
                  <m:r>
                    <m:t>r</m:t>
                  </m:r>
                </m:sub>
              </m:sSub>
            </m:oMath>
          </w:p>
        </w:tc>
        <w:tc>
          <w:tcPr/>
          <w:p>
            <w:pPr>
              <w:pStyle w:val="Compact"/>
              <w:jc w:val="left"/>
            </w:pPr>
            <w:r>
              <w:t xml:space="preserve">800.00</w:t>
            </w:r>
          </w:p>
        </w:tc>
        <w:tc>
          <w:tcPr/>
          <w:p>
            <w:pPr>
              <w:pStyle w:val="Compact"/>
              <w:jc w:val="right"/>
            </w:pPr>
            <w:r>
              <w:t xml:space="preserve">800.17</w:t>
            </w:r>
          </w:p>
        </w:tc>
        <w:tc>
          <w:tcPr/>
          <w:p>
            <w:pPr>
              <w:pStyle w:val="Compact"/>
              <w:jc w:val="left"/>
            </w:pPr>
            <w:r>
              <w:t xml:space="preserve">[797.3, 803.05]</w:t>
            </w:r>
          </w:p>
        </w:tc>
      </w:tr>
      <w:tr>
        <w:tc>
          <w:tcPr/>
          <w:p>
            <w:pPr>
              <w:pStyle w:val="Compact"/>
              <w:jc w:val="left"/>
            </w:pPr>
            <m:oMath>
              <m:sSub>
                <m:e>
                  <m:r>
                    <m:t>β</m:t>
                  </m:r>
                </m:e>
                <m:sub>
                  <m:r>
                    <m:t>r</m:t>
                  </m:r>
                </m:sub>
              </m:sSub>
            </m:oMath>
          </w:p>
        </w:tc>
        <w:tc>
          <w:tcPr/>
          <w:p>
            <w:pPr>
              <w:pStyle w:val="Compact"/>
              <w:jc w:val="left"/>
            </w:pPr>
            <w:r>
              <w:t xml:space="preserve">-400.00</w:t>
            </w:r>
          </w:p>
        </w:tc>
        <w:tc>
          <w:tcPr/>
          <w:p>
            <w:pPr>
              <w:pStyle w:val="Compact"/>
              <w:jc w:val="right"/>
            </w:pPr>
            <w:r>
              <w:t xml:space="preserve">-405.07</w:t>
            </w:r>
          </w:p>
        </w:tc>
        <w:tc>
          <w:tcPr/>
          <w:p>
            <w:pPr>
              <w:pStyle w:val="Compact"/>
              <w:jc w:val="left"/>
            </w:pPr>
            <w:r>
              <w:t xml:space="preserve">[-418.48, -392.22]</w:t>
            </w:r>
          </w:p>
        </w:tc>
      </w:tr>
      <w:tr>
        <w:tc>
          <w:tcPr/>
          <w:p>
            <w:pPr>
              <w:pStyle w:val="Compact"/>
              <w:jc w:val="left"/>
            </w:pPr>
            <m:oMath>
              <m:sSub>
                <m:e>
                  <m:r>
                    <m:t>c</m:t>
                  </m:r>
                </m:e>
                <m:sub>
                  <m:r>
                    <m:t>r</m:t>
                  </m:r>
                </m:sub>
              </m:sSub>
            </m:oMath>
          </w:p>
        </w:tc>
        <w:tc>
          <w:tcPr/>
          <w:p>
            <w:pPr>
              <w:pStyle w:val="Compact"/>
              <w:jc w:val="left"/>
            </w:pPr>
            <w:r>
              <w:t xml:space="preserve">1.00</w:t>
            </w:r>
          </w:p>
        </w:tc>
        <w:tc>
          <w:tcPr/>
          <w:p>
            <w:pPr>
              <w:pStyle w:val="Compact"/>
              <w:jc w:val="right"/>
            </w:pPr>
            <w:r>
              <w:t xml:space="preserve">1.00</w:t>
            </w:r>
          </w:p>
        </w:tc>
        <w:tc>
          <w:tcPr/>
          <w:p>
            <w:pPr>
              <w:pStyle w:val="Compact"/>
              <w:jc w:val="left"/>
            </w:pPr>
            <w:r>
              <w:t xml:space="preserve">[0.99, 1.01]</w:t>
            </w:r>
          </w:p>
        </w:tc>
      </w:tr>
      <w:tr>
        <w:tc>
          <w:tcPr/>
          <w:p>
            <w:pPr>
              <w:pStyle w:val="Compact"/>
              <w:jc w:val="left"/>
            </w:pPr>
            <m:oMath>
              <m:sSub>
                <m:e>
                  <m:r>
                    <m:t>α</m:t>
                  </m:r>
                </m:e>
                <m:sub>
                  <m:r>
                    <m:t>s</m:t>
                  </m:r>
                </m:sub>
              </m:sSub>
            </m:oMath>
          </w:p>
        </w:tc>
        <w:tc>
          <w:tcPr/>
          <w:p>
            <w:pPr>
              <w:pStyle w:val="Compact"/>
              <w:jc w:val="left"/>
            </w:pPr>
            <w:r>
              <w:t xml:space="preserve">50.00</w:t>
            </w:r>
          </w:p>
        </w:tc>
        <w:tc>
          <w:tcPr/>
          <w:p>
            <w:pPr>
              <w:pStyle w:val="Compact"/>
              <w:jc w:val="right"/>
            </w:pPr>
            <w:r>
              <w:t xml:space="preserve">49.11</w:t>
            </w:r>
          </w:p>
        </w:tc>
        <w:tc>
          <w:tcPr/>
          <w:p>
            <w:pPr>
              <w:pStyle w:val="Compact"/>
              <w:jc w:val="left"/>
            </w:pPr>
            <w:r>
              <w:t xml:space="preserve">[47.06, 51.18]</w:t>
            </w:r>
          </w:p>
        </w:tc>
      </w:tr>
      <w:tr>
        <w:tc>
          <w:tcPr/>
          <w:p>
            <w:pPr>
              <w:pStyle w:val="Compact"/>
              <w:jc w:val="left"/>
            </w:pPr>
            <m:oMath>
              <m:sSub>
                <m:e>
                  <m:r>
                    <m:t>β</m:t>
                  </m:r>
                </m:e>
                <m:sub>
                  <m:r>
                    <m:t>s</m:t>
                  </m:r>
                </m:sub>
              </m:sSub>
            </m:oMath>
          </w:p>
        </w:tc>
        <w:tc>
          <w:tcPr/>
          <w:p>
            <w:pPr>
              <w:pStyle w:val="Compact"/>
              <w:jc w:val="left"/>
            </w:pPr>
            <w:r>
              <w:t xml:space="preserve">-25.00</w:t>
            </w:r>
          </w:p>
        </w:tc>
        <w:tc>
          <w:tcPr/>
          <w:p>
            <w:pPr>
              <w:pStyle w:val="Compact"/>
              <w:jc w:val="right"/>
            </w:pPr>
            <w:r>
              <w:t xml:space="preserve">-24.92</w:t>
            </w:r>
          </w:p>
        </w:tc>
        <w:tc>
          <w:tcPr/>
          <w:p>
            <w:pPr>
              <w:pStyle w:val="Compact"/>
              <w:jc w:val="left"/>
            </w:pPr>
            <w:r>
              <w:t xml:space="preserve">[-28.46, -21.63]</w:t>
            </w:r>
          </w:p>
        </w:tc>
      </w:tr>
      <w:tr>
        <w:tc>
          <w:tcPr/>
          <w:p>
            <w:pPr>
              <w:pStyle w:val="Compact"/>
              <w:jc w:val="left"/>
            </w:pPr>
            <m:oMath>
              <m:sSub>
                <m:e>
                  <m:r>
                    <m:t>c</m:t>
                  </m:r>
                </m:e>
                <m:sub>
                  <m:r>
                    <m:t>s</m:t>
                  </m:r>
                </m:sub>
              </m:sSub>
            </m:oMath>
          </w:p>
        </w:tc>
        <w:tc>
          <w:tcPr/>
          <w:p>
            <w:pPr>
              <w:pStyle w:val="Compact"/>
              <w:jc w:val="left"/>
            </w:pPr>
            <w:r>
              <w:t xml:space="preserve">1.00</w:t>
            </w:r>
          </w:p>
        </w:tc>
        <w:tc>
          <w:tcPr/>
          <w:p>
            <w:pPr>
              <w:pStyle w:val="Compact"/>
              <w:jc w:val="right"/>
            </w:pPr>
            <w:r>
              <w:t xml:space="preserve">1.06</w:t>
            </w:r>
          </w:p>
        </w:tc>
        <w:tc>
          <w:tcPr/>
          <w:p>
            <w:pPr>
              <w:pStyle w:val="Compact"/>
              <w:jc w:val="left"/>
            </w:pPr>
            <w:r>
              <w:t xml:space="preserve">[0.94, 1.18]</w:t>
            </w:r>
          </w:p>
        </w:tc>
      </w:tr>
      <w:tr>
        <w:tc>
          <w:tcPr/>
          <w:p>
            <w:pPr>
              <w:pStyle w:val="Compact"/>
              <w:jc w:val="left"/>
            </w:pPr>
            <m:oMath>
              <m:sSub>
                <m:e>
                  <m:r>
                    <m:t>c</m:t>
                  </m:r>
                </m:e>
                <m:sub>
                  <m:r>
                    <m:t>c</m:t>
                  </m:r>
                </m:sub>
              </m:sSub>
            </m:oMath>
          </w:p>
        </w:tc>
        <w:tc>
          <w:tcPr/>
          <w:p>
            <w:pPr>
              <w:pStyle w:val="Compact"/>
              <w:jc w:val="left"/>
            </w:pPr>
            <w:r>
              <w:t xml:space="preserve">0.40</w:t>
            </w:r>
          </w:p>
        </w:tc>
        <w:tc>
          <w:tcPr/>
          <w:p>
            <w:pPr>
              <w:pStyle w:val="Compact"/>
              <w:jc w:val="right"/>
            </w:pPr>
            <w:r>
              <w:t xml:space="preserve">0.44</w:t>
            </w:r>
          </w:p>
        </w:tc>
        <w:tc>
          <w:tcPr/>
          <w:p>
            <w:pPr>
              <w:pStyle w:val="Compact"/>
              <w:jc w:val="left"/>
            </w:pPr>
            <w:r>
              <w:t xml:space="preserve">[0.33, 0.55]</w:t>
            </w:r>
          </w:p>
        </w:tc>
      </w:tr>
      <w:tr>
        <w:tc>
          <w:tcPr/>
          <w:p>
            <w:pPr>
              <w:pStyle w:val="Compact"/>
              <w:jc w:val="left"/>
            </w:pPr>
            <m:oMath>
              <m:r>
                <m:t>w</m:t>
              </m:r>
            </m:oMath>
          </w:p>
        </w:tc>
        <w:tc>
          <w:tcPr/>
          <w:p>
            <w:pPr>
              <w:pStyle w:val="Compact"/>
              <w:jc w:val="left"/>
            </w:pPr>
            <w:r>
              <w:t xml:space="preserve">0.60</w:t>
            </w:r>
          </w:p>
        </w:tc>
        <w:tc>
          <w:tcPr/>
          <w:p>
            <w:pPr>
              <w:pStyle w:val="Compact"/>
              <w:jc w:val="right"/>
            </w:pPr>
            <w:r>
              <w:t xml:space="preserve">0.59</w:t>
            </w:r>
          </w:p>
        </w:tc>
        <w:tc>
          <w:tcPr/>
          <w:p>
            <w:pPr>
              <w:pStyle w:val="Compact"/>
              <w:jc w:val="left"/>
            </w:pPr>
            <w:r>
              <w:t xml:space="preserve">[0.56, 0.61]</w:t>
            </w:r>
          </w:p>
        </w:tc>
      </w:tr>
      <w:tr>
        <w:tc>
          <w:tcPr/>
          <w:p>
            <w:pPr>
              <w:pStyle w:val="Compact"/>
              <w:jc w:val="left"/>
            </w:pPr>
            <m:oMath>
              <m:sSub>
                <m:e>
                  <m:acc>
                    <m:accPr>
                      <m:chr m:val="⃗"/>
                    </m:accPr>
                    <m:e>
                      <m:r>
                        <m:t>π</m:t>
                      </m:r>
                    </m:e>
                  </m:acc>
                </m:e>
                <m:sub>
                  <m:r>
                    <m:t>b</m:t>
                  </m:r>
                  <m:r>
                    <m:t>a</m:t>
                  </m:r>
                  <m:r>
                    <m:t>s</m:t>
                  </m:r>
                  <m:r>
                    <m:t>e</m:t>
                  </m:r>
                </m:sub>
              </m:sSub>
            </m:oMath>
            <w:r>
              <w:t xml:space="preserve"> </w:t>
            </w:r>
            <w:r>
              <w:t xml:space="preserve">[VLF]</w:t>
            </w:r>
          </w:p>
        </w:tc>
        <w:tc>
          <w:tcPr/>
          <w:p>
            <w:pPr>
              <w:pStyle w:val="Compact"/>
              <w:jc w:val="left"/>
            </w:pPr>
            <w:r>
              <w:t xml:space="preserve">0.20</w:t>
            </w:r>
          </w:p>
        </w:tc>
        <w:tc>
          <w:tcPr/>
          <w:p>
            <w:pPr>
              <w:pStyle w:val="Compact"/>
              <w:jc w:val="right"/>
            </w:pPr>
            <w:r>
              <w:t xml:space="preserve">0.19</w:t>
            </w:r>
          </w:p>
        </w:tc>
        <w:tc>
          <w:tcPr/>
          <w:p>
            <w:pPr>
              <w:pStyle w:val="Compact"/>
              <w:jc w:val="left"/>
            </w:pPr>
            <w:r>
              <w:t xml:space="preserve">[0.13, 0.26]</w:t>
            </w:r>
          </w:p>
        </w:tc>
      </w:tr>
      <w:tr>
        <w:tc>
          <w:tcPr/>
          <w:p>
            <w:pPr>
              <w:pStyle w:val="Compact"/>
              <w:jc w:val="left"/>
            </w:pPr>
            <m:oMath>
              <m:sSub>
                <m:e>
                  <m:acc>
                    <m:accPr>
                      <m:chr m:val="⃗"/>
                    </m:accPr>
                    <m:e>
                      <m:r>
                        <m:t>π</m:t>
                      </m:r>
                    </m:e>
                  </m:acc>
                </m:e>
                <m:sub>
                  <m:r>
                    <m:t>b</m:t>
                  </m:r>
                  <m:r>
                    <m:t>a</m:t>
                  </m:r>
                  <m:r>
                    <m:t>s</m:t>
                  </m:r>
                  <m:r>
                    <m:t>e</m:t>
                  </m:r>
                </m:sub>
              </m:sSub>
            </m:oMath>
            <w:r>
              <w:t xml:space="preserve"> </w:t>
            </w:r>
            <w:r>
              <w:t xml:space="preserve">[LF]</w:t>
            </w:r>
          </w:p>
        </w:tc>
        <w:tc>
          <w:tcPr/>
          <w:p>
            <w:pPr>
              <w:pStyle w:val="Compact"/>
              <w:jc w:val="left"/>
            </w:pPr>
            <w:r>
              <w:t xml:space="preserve">0.20</w:t>
            </w:r>
          </w:p>
        </w:tc>
        <w:tc>
          <w:tcPr/>
          <w:p>
            <w:pPr>
              <w:pStyle w:val="Compact"/>
              <w:jc w:val="right"/>
            </w:pPr>
            <w:r>
              <w:t xml:space="preserve">0.20</w:t>
            </w:r>
          </w:p>
        </w:tc>
        <w:tc>
          <w:tcPr/>
          <w:p>
            <w:pPr>
              <w:pStyle w:val="Compact"/>
              <w:jc w:val="left"/>
            </w:pPr>
            <w:r>
              <w:t xml:space="preserve">[0.14, 0.26]</w:t>
            </w:r>
          </w:p>
        </w:tc>
      </w:tr>
      <w:tr>
        <w:tc>
          <w:tcPr/>
          <w:p>
            <w:pPr>
              <w:pStyle w:val="Compact"/>
              <w:jc w:val="left"/>
            </w:pPr>
            <m:oMath>
              <m:sSub>
                <m:e>
                  <m:acc>
                    <m:accPr>
                      <m:chr m:val="⃗"/>
                    </m:accPr>
                    <m:e>
                      <m:r>
                        <m:t>π</m:t>
                      </m:r>
                    </m:e>
                  </m:acc>
                </m:e>
                <m:sub>
                  <m:r>
                    <m:t>b</m:t>
                  </m:r>
                  <m:r>
                    <m:t>a</m:t>
                  </m:r>
                  <m:r>
                    <m:t>s</m:t>
                  </m:r>
                  <m:r>
                    <m:t>e</m:t>
                  </m:r>
                </m:sub>
              </m:sSub>
            </m:oMath>
            <w:r>
              <w:t xml:space="preserve"> </w:t>
            </w:r>
            <w:r>
              <w:t xml:space="preserve">[HF]</w:t>
            </w:r>
          </w:p>
        </w:tc>
        <w:tc>
          <w:tcPr/>
          <w:p>
            <w:pPr>
              <w:pStyle w:val="Compact"/>
              <w:jc w:val="left"/>
            </w:pPr>
            <w:r>
              <w:t xml:space="preserve">0.60</w:t>
            </w:r>
          </w:p>
        </w:tc>
        <w:tc>
          <w:tcPr/>
          <w:p>
            <w:pPr>
              <w:pStyle w:val="Compact"/>
              <w:jc w:val="right"/>
            </w:pPr>
            <w:r>
              <w:t xml:space="preserve">0.61</w:t>
            </w:r>
          </w:p>
        </w:tc>
        <w:tc>
          <w:tcPr/>
          <w:p>
            <w:pPr>
              <w:pStyle w:val="Compact"/>
              <w:jc w:val="left"/>
            </w:pPr>
            <w:r>
              <w:t xml:space="preserve">[0.52, 0.69]</w:t>
            </w:r>
          </w:p>
        </w:tc>
      </w:tr>
      <w:tr>
        <w:tc>
          <w:tcPr/>
          <w:p>
            <w:pPr>
              <w:pStyle w:val="Compact"/>
              <w:jc w:val="left"/>
            </w:pPr>
            <m:oMath>
              <m:sSub>
                <m:e>
                  <m:acc>
                    <m:accPr>
                      <m:chr m:val="⃗"/>
                    </m:accPr>
                    <m:e>
                      <m:r>
                        <m:t>π</m:t>
                      </m:r>
                    </m:e>
                  </m:acc>
                </m:e>
                <m:sub>
                  <m:r>
                    <m:t>p</m:t>
                  </m:r>
                  <m:r>
                    <m:t>e</m:t>
                  </m:r>
                  <m:r>
                    <m:t>r</m:t>
                  </m:r>
                  <m:r>
                    <m:t>t</m:t>
                  </m:r>
                </m:sub>
              </m:sSub>
            </m:oMath>
            <w:r>
              <w:t xml:space="preserve"> </w:t>
            </w:r>
            <w:r>
              <w:t xml:space="preserve">[VLF]</w:t>
            </w:r>
          </w:p>
        </w:tc>
        <w:tc>
          <w:tcPr/>
          <w:p>
            <w:pPr>
              <w:pStyle w:val="Compact"/>
              <w:jc w:val="left"/>
            </w:pPr>
            <w:r>
              <w:t xml:space="preserve">0.40</w:t>
            </w:r>
          </w:p>
        </w:tc>
        <w:tc>
          <w:tcPr/>
          <w:p>
            <w:pPr>
              <w:pStyle w:val="Compact"/>
              <w:jc w:val="right"/>
            </w:pPr>
            <w:r>
              <w:t xml:space="preserve">0.46</w:t>
            </w:r>
          </w:p>
        </w:tc>
        <w:tc>
          <w:tcPr/>
          <w:p>
            <w:pPr>
              <w:pStyle w:val="Compact"/>
              <w:jc w:val="left"/>
            </w:pPr>
            <w:r>
              <w:t xml:space="preserve">[0.37, 0.56]</w:t>
            </w:r>
          </w:p>
        </w:tc>
      </w:tr>
      <w:tr>
        <w:tc>
          <w:tcPr/>
          <w:p>
            <w:pPr>
              <w:pStyle w:val="Compact"/>
              <w:jc w:val="left"/>
            </w:pPr>
            <m:oMath>
              <m:sSub>
                <m:e>
                  <m:acc>
                    <m:accPr>
                      <m:chr m:val="⃗"/>
                    </m:accPr>
                    <m:e>
                      <m:r>
                        <m:t>π</m:t>
                      </m:r>
                    </m:e>
                  </m:acc>
                </m:e>
                <m:sub>
                  <m:r>
                    <m:t>p</m:t>
                  </m:r>
                  <m:r>
                    <m:t>e</m:t>
                  </m:r>
                  <m:r>
                    <m:t>r</m:t>
                  </m:r>
                  <m:r>
                    <m:t>t</m:t>
                  </m:r>
                </m:sub>
              </m:sSub>
            </m:oMath>
            <w:r>
              <w:t xml:space="preserve"> </w:t>
            </w:r>
            <w:r>
              <w:t xml:space="preserve">[LF]</w:t>
            </w:r>
          </w:p>
        </w:tc>
        <w:tc>
          <w:tcPr/>
          <w:p>
            <w:pPr>
              <w:pStyle w:val="Compact"/>
              <w:jc w:val="left"/>
            </w:pPr>
            <w:r>
              <w:t xml:space="preserve">0.40</w:t>
            </w:r>
          </w:p>
        </w:tc>
        <w:tc>
          <w:tcPr/>
          <w:p>
            <w:pPr>
              <w:pStyle w:val="Compact"/>
              <w:jc w:val="right"/>
            </w:pPr>
            <w:r>
              <w:t xml:space="preserve">0.40</w:t>
            </w:r>
          </w:p>
        </w:tc>
        <w:tc>
          <w:tcPr/>
          <w:p>
            <w:pPr>
              <w:pStyle w:val="Compact"/>
              <w:jc w:val="left"/>
            </w:pPr>
            <w:r>
              <w:t xml:space="preserve">[0.31, 0.49]</w:t>
            </w:r>
          </w:p>
        </w:tc>
      </w:tr>
      <w:tr>
        <w:tc>
          <w:tcPr/>
          <w:p>
            <w:pPr>
              <w:pStyle w:val="Compact"/>
              <w:jc w:val="left"/>
            </w:pPr>
            <m:oMath>
              <m:sSub>
                <m:e>
                  <m:acc>
                    <m:accPr>
                      <m:chr m:val="⃗"/>
                    </m:accPr>
                    <m:e>
                      <m:r>
                        <m:t>π</m:t>
                      </m:r>
                    </m:e>
                  </m:acc>
                </m:e>
                <m:sub>
                  <m:r>
                    <m:t>p</m:t>
                  </m:r>
                  <m:r>
                    <m:t>e</m:t>
                  </m:r>
                  <m:r>
                    <m:t>r</m:t>
                  </m:r>
                  <m:r>
                    <m:t>t</m:t>
                  </m:r>
                </m:sub>
              </m:sSub>
            </m:oMath>
            <w:r>
              <w:t xml:space="preserve"> </w:t>
            </w:r>
            <w:r>
              <w:t xml:space="preserve">[HF]</w:t>
            </w:r>
          </w:p>
        </w:tc>
        <w:tc>
          <w:tcPr/>
          <w:p>
            <w:pPr>
              <w:pStyle w:val="Compact"/>
              <w:jc w:val="left"/>
            </w:pPr>
            <w:r>
              <w:t xml:space="preserve">0.20</w:t>
            </w:r>
          </w:p>
        </w:tc>
        <w:tc>
          <w:tcPr/>
          <w:p>
            <w:pPr>
              <w:pStyle w:val="Compact"/>
              <w:jc w:val="right"/>
            </w:pPr>
            <w:r>
              <w:t xml:space="preserve">0.14</w:t>
            </w:r>
          </w:p>
        </w:tc>
        <w:tc>
          <w:tcPr/>
          <w:p>
            <w:pPr>
              <w:pStyle w:val="Compact"/>
              <w:jc w:val="left"/>
            </w:pPr>
            <w:r>
              <w:t xml:space="preserve">[0.07, 0.22]</w:t>
            </w:r>
          </w:p>
        </w:tc>
      </w:tr>
    </w:tbl>
    <w:p>
      <w:pPr>
        <w:pStyle w:val="MDPI23heading3"/>
      </w:pPr>
      <w:r>
        <w:t xml:space="preserve">2.1.1. Benchmarking the Model’s Descriptive Fidelity</w:t>
      </w:r>
    </w:p>
    <w:p>
      <w:pPr>
        <w:pStyle w:val="MDPI31text"/>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and performance. The same synthetic datasets from the previous section were analyzed using a 60-second sliding-window analysis for time-domain metrics (mean RRi and SDNN), and a Short-Time Fourier Transform (STFT) with a similar window length for characterizing spectral dynamics. The STFT, and similar Fourier methods, allows to decompose the signal into frequency bands that compose the complete signal, which helps in the identification of the relative contribution of major frequency bands (which BAND model mechanistically performs as part of its architecture). As an additional and more robust comparator for spectral reconstruction, we also benchmarked the model against a Continuous Wavelet Transform (CWT) analysis, given that this method does not impose the fixed time-frequency resolution trade-off inherent to sliding-window and STFT-based approaches</w:t>
      </w:r>
      <w:r>
        <w:t xml:space="preserve"> </w:t>
      </w:r>
      <w:r>
        <w:t xml:space="preserve">[15]</w:t>
      </w:r>
      <w:r>
        <w:t xml:space="preserve">.</w:t>
      </w:r>
      <w:r>
        <w:t xml:space="preserve"> </w:t>
      </w:r>
      <w:r>
        <w:rPr>
          <w:i/>
          <w:iCs/>
        </w:rPr>
        <w:t xml:space="preserve">[Results placeholder: CWT-based spectral reconstruction results, to be incorporated into Figure 4 and Table 3 upon completion of the corresponding analysis.]</w:t>
      </w:r>
    </w:p>
    <w:p>
      <w:pPr>
        <w:pStyle w:val="MDPI31text"/>
      </w:pPr>
      <w:r>
        <w:t xml:space="preserve">The results of this comparative analysis highlight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w:t>
      </w:r>
    </w:p>
    <w:p>
      <w:pPr>
        <w:pStyle w:val="Textoindependiente"/>
      </w:pPr>
      <w:r>
        <w:drawing>
          <wp:inline>
            <wp:extent cx="6642100" cy="6642100"/>
            <wp:effectExtent b="0" l="0" r="0" t="0"/>
            <wp:docPr descr="" title="" id="31" name="Picture"/>
            <a:graphic>
              <a:graphicData uri="http://schemas.openxmlformats.org/drawingml/2006/picture">
                <pic:pic>
                  <pic:nvPicPr>
                    <pic:cNvPr descr="submission/fig-4.pdf" id="32" name="Picture"/>
                    <pic:cNvPicPr>
                      <a:picLocks noChangeArrowheads="1" noChangeAspect="1"/>
                    </pic:cNvPicPr>
                  </pic:nvPicPr>
                  <pic:blipFill>
                    <a:blip r:embed="rId30"/>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MDPI31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MDPI41tablecaption"/>
      </w:pPr>
      <w:r>
        <w:rPr>
          <w:b/>
          <w:bCs/>
        </w:rPr>
        <w:t xml:space="preserve">Table 3. Quantitative Performance Metrics for the Generative Model versus Windowed and Wavelet-Based Methods.</w:t>
      </w:r>
      <w:r>
        <w:t xml:space="preserve"> </w:t>
      </w:r>
      <w:r>
        <w:t xml:space="preserve">This table presents the root mean squared error (RMSE) and mean absolute error (MAE) — reported in milliseconds for RRi- and SDNN-scale metrics, and as a dimensionless proportion for spectral (implied variance-share,</w:t>
      </w:r>
      <w:r>
        <w:t xml:space="preserve"> </w:t>
      </w:r>
      <m:oMath>
        <m:sSub>
          <m:e>
            <m:r>
              <m:t>q</m:t>
            </m:r>
          </m:e>
          <m:sub>
            <m:r>
              <m:t>j</m:t>
            </m:r>
          </m:sub>
        </m:sSub>
        <m:d>
          <m:dPr>
            <m:begChr m:val="("/>
            <m:sepChr m:val=""/>
            <m:endChr m:val=")"/>
            <m:grow/>
          </m:dPr>
          <m:e>
            <m:r>
              <m:t>t</m:t>
            </m:r>
          </m:e>
        </m:d>
      </m:oMath>
      <w:r>
        <w:t xml:space="preserve">) metrics — as measures of the average magnitude of the estimation error; Bias (mean error, same units) to identify any systematic tendency for over- or underestimation; and the coefficient of determination (</w:t>
      </w:r>
      <m:oMath>
        <m:sSup>
          <m:e>
            <m:r>
              <m:t>R</m:t>
            </m:r>
          </m:e>
          <m:sup>
            <m:r>
              <m:t>2</m:t>
            </m:r>
          </m:sup>
        </m:sSup>
      </m:oMath>
      <w:r>
        <w:t xml:space="preserve">, dimensionless) to assess the proportion of variance in the true signal captured by the estimate. Intervals reported for the generative model are 95% posterior credible intervals computed across MCMC draws; intervals reported for the windowed, STFT, and CWT comparators are 95% bootstrap intervals obtained by resampling the underlying synthetic record, so that all methods are reported with comparable uncertainty quantification. Decimal precision is unified to three significant figures throughout.</w:t>
      </w:r>
      <w:r>
        <w:t xml:space="preserve"> </w:t>
      </w:r>
      <w:r>
        <w:rPr>
          <w:i/>
          <w:iCs/>
        </w:rPr>
        <w:t xml:space="preserve">[Pending: Continuous Wavelet Transform (CWT) comparator rows for the spectral-proportion metrics, and bootstrap intervals for the windowed/STFT/CWT comparators.]</w:t>
      </w:r>
    </w:p>
    <w:p>
      <w:pPr>
        <w:pStyle w:val="Textoindependiente"/>
      </w:pPr>
      <w:r>
        <w:t xml:space="preserve">[TABLE IN MARKDOWN HERE]</w:t>
      </w:r>
    </w:p>
    <w:p>
      <w:pPr>
        <w:pStyle w:val="MDPI31text"/>
      </w:pPr>
      <w:r>
        <w:t xml:space="preserve">Further model diagnostics testing the model’s overall stability and reliability on synthetic data for</w:t>
      </w:r>
      <w:r>
        <w:t xml:space="preserve"> </w:t>
      </w:r>
      <w:r>
        <w:rPr>
          <w:i/>
          <w:iCs/>
        </w:rPr>
        <w:t xml:space="preserve">in silico</w:t>
      </w:r>
      <w:r>
        <w:t xml:space="preserve"> </w:t>
      </w:r>
      <w:r>
        <w:t xml:space="preserve">validation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 Beyond these three fixed scenarios, we conducted a dedicated simulation-based calibration (SBC) study, drawing repeated datasets from the prior predictive distribution at a data configuration representative of the empirical case study, and assessing rank-uniformity, empirical 50%/95% interval coverage, bias, RMSE, and MCMC divergence rates; we also report a pairwise posterior-correlation analysis for</w:t>
      </w:r>
      <w:r>
        <w:t xml:space="preserve"> </w:t>
      </w:r>
      <m:oMath>
        <m:r>
          <m:t>β</m:t>
        </m:r>
      </m:oMath>
      <w:r>
        <w:t xml:space="preserve">,</w:t>
      </w:r>
      <w:r>
        <w:t xml:space="preserve"> </w:t>
      </w:r>
      <m:oMath>
        <m:r>
          <m:t>c</m:t>
        </m:r>
      </m:oMath>
      <w:r>
        <w:t xml:space="preserve">,</w:t>
      </w:r>
      <w:r>
        <w:t xml:space="preserve"> </w:t>
      </w:r>
      <m:oMath>
        <m:r>
          <m:t>δ</m:t>
        </m:r>
      </m:oMath>
      <w:r>
        <w:t xml:space="preserve">, and</w:t>
      </w:r>
      <w:r>
        <w:t xml:space="preserve"> </w:t>
      </w:r>
      <m:oMath>
        <m:r>
          <m:t>ϕ</m:t>
        </m:r>
      </m:oMath>
      <w:r>
        <w:t xml:space="preserve">, and replicate the asymmetric-recovery and non-Gaussian misspecification checks quantitatively across repeated simulation runs rather than as single visual examples.</w:t>
      </w:r>
      <w:r>
        <w:t xml:space="preserve"> </w:t>
      </w:r>
      <w:r>
        <w:rPr>
          <w:i/>
          <w:iCs/>
        </w:rPr>
        <w:t xml:space="preserve">[Results placeholder: SBC coverage/calibration results and replicated misspecification summaries, pending completion of the corresponding supplementary analysis.]</w:t>
      </w:r>
      <w:r>
        <w:t xml:space="preserve"> </w:t>
      </w:r>
      <w:r>
        <w:t xml:space="preserve">We further extended the misspecification battery to include irregular beat timing with missing observations and slow baseline drift unrelated to the modeled stimulus, and strengthened the residual diagnostics for all misspecification checks to include autocorrelation, conditional-variance, and tail-behavior assessments, rather than global mean/SD recovery alone. Consistent with the model’s stated scope as a single-event instrument (Section 3.3), we did not extend these checks to multiple or overlapping perturbations.</w:t>
      </w:r>
    </w:p>
    <w:p>
      <w:pPr>
        <w:pStyle w:val="MDPI22heading2"/>
      </w:pPr>
      <w:r>
        <w:t xml:space="preserve">2.2. A Phenomenological Description of an Empirical Exercise Response</w:t>
      </w:r>
    </w:p>
    <w:p>
      <w:pPr>
        <w:pStyle w:val="MDPI31text"/>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MDPI31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panel A and B in Figure 5) and a concurrent suppression of total heart rate variability (a decrease in the SDNN component, panel C in Figure 5). This initial response is followed by a slower, more gradual recovery phase after the cessation of the exercise stimulus. From a spectral perspective, the model attributes the signature of this response to a near-complete withdrawal of power in the high-frequency (HF) band, and a corresponding surge in the proportion of very-low-frequency (VLF) power (panel D in Figure 5). The model captures these dynamics as continuous, smooth trajectories, providing an integrated narrative of the entire physiological event.</w:t>
      </w:r>
    </w:p>
    <w:p>
      <w:pPr>
        <w:pStyle w:val="Textoindependiente"/>
      </w:pPr>
      <w:r>
        <w:drawing>
          <wp:inline>
            <wp:extent cx="6642100" cy="7237668"/>
            <wp:effectExtent b="0" l="0" r="0" t="0"/>
            <wp:docPr descr="" title="" id="34" name="Picture"/>
            <a:graphic>
              <a:graphicData uri="http://schemas.openxmlformats.org/drawingml/2006/picture">
                <pic:pic>
                  <pic:nvPicPr>
                    <pic:cNvPr descr="submission/fig-5.pdf" id="35" name="Picture"/>
                    <pic:cNvPicPr>
                      <a:picLocks noChangeArrowheads="1" noChangeAspect="1"/>
                    </pic:cNvPicPr>
                  </pic:nvPicPr>
                  <pic:blipFill>
                    <a:blip r:embed="rId33"/>
                    <a:stretch>
                      <a:fillRect/>
                    </a:stretch>
                  </pic:blipFill>
                  <pic:spPr bwMode="auto">
                    <a:xfrm>
                      <a:off x="0" y="0"/>
                      <a:ext cx="6642100" cy="7237668"/>
                    </a:xfrm>
                    <a:prstGeom prst="rect">
                      <a:avLst/>
                    </a:prstGeom>
                    <a:noFill/>
                    <a:ln w="9525">
                      <a:noFill/>
                      <a:headEnd/>
                      <a:tailEnd/>
                    </a:ln>
                  </pic:spPr>
                </pic:pic>
              </a:graphicData>
            </a:graphic>
          </wp:inline>
        </w:drawing>
      </w:r>
    </w:p>
    <w:p>
      <w:pPr>
        <w:pStyle w:val="MDPI51figurecaption"/>
      </w:pPr>
      <w:r>
        <w:rPr>
          <w:b/>
          <w:bCs/>
        </w:rPr>
        <w:t xml:space="preserve">Figure 5. Phenomenological decomposition of an empirical exercise-recovery response.</w:t>
      </w:r>
      <w:r>
        <w:t xml:space="preserve"> </w:t>
      </w:r>
      <w:r>
        <w:t xml:space="preserve">The figure illustrates the reconstructed RRi signal (red line in panel A) overlaid on top of the observed RRi signal (gray). In the bottom panel, the Biphasic Autonomic Non-stationary Decomposition (BAND) model components appear. First, the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line, panel B) and the total instantaneous variability (</w:t>
      </w:r>
      <m:oMath>
        <m:sSub>
          <m:e>
            <m:r>
              <m:t>σ</m:t>
            </m:r>
          </m:e>
          <m:sub>
            <m:r>
              <m:rPr>
                <m:nor/>
                <m:sty m:val="p"/>
              </m:rPr>
              <m:t>total</m:t>
            </m:r>
          </m:sub>
        </m:sSub>
      </m:oMath>
      <w:r>
        <w:t xml:space="preserve">, SDNN-scale, orange, panel C). Additionally, the inferred dynamics of the spectral mixture weights,</w:t>
      </w:r>
      <w:r>
        <w:t xml:space="preserve"> </w:t>
      </w:r>
      <m:oMath>
        <m:sSub>
          <m:e>
            <m:r>
              <m:t>p</m:t>
            </m:r>
          </m:e>
          <m:sub>
            <m:r>
              <m:t>j</m:t>
            </m:r>
          </m:sub>
        </m:sSub>
        <m:d>
          <m:dPr>
            <m:begChr m:val="("/>
            <m:sepChr m:val=""/>
            <m:endChr m:val=")"/>
            <m:grow/>
          </m:dPr>
          <m:e>
            <m:r>
              <m:t>t</m:t>
            </m:r>
          </m:e>
        </m:d>
      </m:oMath>
      <w:r>
        <w:t xml:space="preserve">, is also present, describing the evolution of frequency band relative participation across the transient stimulus (panel D). The shaded regions represent the 95% highest density intervals.</w:t>
      </w:r>
    </w:p>
    <w:p>
      <w:pPr>
        <w:pStyle w:val="MDPI31text"/>
      </w:pPr>
      <w:r>
        <w:t xml:space="preserve">The framework’s primary scientific utility, however, lies in generating quantitative, testable claims, which are encapsulated by the posterior distributions of its parameters. A key feature of the model is its separate parameterization of the recovery dynamics of the signal’s location (mean RRi, via the coefficient</w:t>
      </w:r>
      <w:r>
        <w:t xml:space="preserve"> </w:t>
      </w:r>
      <m:oMath>
        <m:sSub>
          <m:e>
            <m:r>
              <m:t>c</m:t>
            </m:r>
          </m:e>
          <m:sub>
            <m:r>
              <m:t>r</m:t>
            </m:r>
          </m:sub>
        </m:sSub>
      </m:oMath>
      <w:r>
        <w:t xml:space="preserve">) and its dispersion (total variability, or SDNN-scale, via the coefficient</w:t>
      </w:r>
      <w:r>
        <w:t xml:space="preserve"> </w:t>
      </w:r>
      <m:oMath>
        <m:sSub>
          <m:e>
            <m:r>
              <m:t>c</m:t>
            </m:r>
          </m:e>
          <m:sub>
            <m:r>
              <m:t>s</m:t>
            </m:r>
          </m:sub>
        </m:sSub>
      </m:oMath>
      <w:r>
        <w:t xml:space="preserve">). Because both trajectories share the same underlying timing parameters (</w:t>
      </w:r>
      <m:oMath>
        <m:r>
          <m:t>τ</m:t>
        </m:r>
      </m:oMath>
      <w:r>
        <w:t xml:space="preserve">,</w:t>
      </w:r>
      <w:r>
        <w:t xml:space="preserve"> </w:t>
      </w:r>
      <m:oMath>
        <m:r>
          <m:t>δ</m:t>
        </m:r>
      </m:oMath>
      <w:r>
        <w:t xml:space="preserve">,</w:t>
      </w:r>
      <w:r>
        <w:t xml:space="preserve"> </w:t>
      </w:r>
      <m:oMath>
        <m:r>
          <m:t>λ</m:t>
        </m:r>
      </m:oMath>
      <w:r>
        <w:t xml:space="preserve">,</w:t>
      </w:r>
      <w:r>
        <w:t xml:space="preserve"> </w:t>
      </w:r>
      <m:oMath>
        <m:r>
          <m:t>ϕ</m:t>
        </m:r>
      </m:oMath>
      <w:r>
        <w:t xml:space="preserve">;</w:t>
      </w:r>
      <w:r>
        <w:t xml:space="preserve"> </w:t>
      </w:r>
      <w:hyperlink w:anchor="eq-logistic-components">
        <w:r>
          <w:rPr>
            <w:rStyle w:val="Hipervnculo"/>
          </w:rPr>
          <w:t xml:space="preserve">Equation 6</w:t>
        </w:r>
      </w:hyperlink>
      <w:r>
        <w:t xml:space="preserve">),</w:t>
      </w:r>
      <w:r>
        <w:t xml:space="preserve"> </w:t>
      </w:r>
      <m:oMath>
        <m:sSub>
          <m:e>
            <m:r>
              <m:t>c</m:t>
            </m:r>
          </m:e>
          <m:sub>
            <m:r>
              <m:t>r</m:t>
            </m:r>
          </m:sub>
        </m:sSub>
      </m:oMath>
      <w:r>
        <w:t xml:space="preserve"> </w:t>
      </w:r>
      <w:r>
        <w:t xml:space="preserve">and</w:t>
      </w:r>
      <w:r>
        <w:t xml:space="preserve"> </w:t>
      </w:r>
      <m:oMath>
        <m:sSub>
          <m:e>
            <m:r>
              <m:t>c</m:t>
            </m:r>
          </m:e>
          <m:sub>
            <m:r>
              <m:t>s</m:t>
            </m:r>
          </m:sub>
        </m:sSub>
      </m:oMath>
      <w:r>
        <w:t xml:space="preserve"> </w:t>
      </w:r>
      <w:r>
        <w:t xml:space="preserve">do not describe a difference in recovery</w:t>
      </w:r>
      <w:r>
        <w:t xml:space="preserve"> </w:t>
      </w:r>
      <w:r>
        <w:rPr>
          <w:i/>
          <w:iCs/>
        </w:rPr>
        <w:t xml:space="preserve">rate</w:t>
      </w:r>
      <w:r>
        <w:t xml:space="preserve"> </w:t>
      </w:r>
      <w:r>
        <w:t xml:space="preserve">or</w:t>
      </w:r>
      <w:r>
        <w:t xml:space="preserve"> </w:t>
      </w:r>
      <w:r>
        <w:rPr>
          <w:i/>
          <w:iCs/>
        </w:rPr>
        <w:t xml:space="preserve">timescale</w:t>
      </w:r>
      <w:r>
        <w:t xml:space="preserve">; rather, they quantify a difference in recovery</w:t>
      </w:r>
      <w:r>
        <w:t xml:space="preserve"> </w:t>
      </w:r>
      <w:r>
        <w:rPr>
          <w:i/>
          <w:iCs/>
        </w:rPr>
        <w:t xml:space="preserve">extent</w:t>
      </w:r>
      <w:r>
        <w:t xml:space="preserve"> </w:t>
      </w:r>
      <w:r>
        <w:t xml:space="preserve">— the asymptotic fraction of the initial perturbation that is undone. This explicit separation allows for a direct, quantitative description of their potential divergence in extent. In this particular recording, the posterior distributions for these two recovery-extent parameters were credibly distinct; the 95% credible interval for</w:t>
      </w:r>
      <w:r>
        <w:t xml:space="preserve"> </w:t>
      </w:r>
      <m:oMath>
        <m:sSub>
          <m:e>
            <m:r>
              <m:t>c</m:t>
            </m:r>
          </m:e>
          <m:sub>
            <m:r>
              <m:t>r</m:t>
            </m:r>
          </m:sub>
        </m:sSub>
      </m:oMath>
      <w:r>
        <w:t xml:space="preserve"> </w:t>
      </w:r>
      <w:r>
        <w:t xml:space="preserve">(median of the posterior distribution = 0.69, CI</w:t>
      </w:r>
      <w:r>
        <w:rPr>
          <w:vertAlign w:val="subscript"/>
        </w:rPr>
        <w:t xml:space="preserve">95%</w:t>
      </w:r>
      <w:r>
        <w:t xml:space="preserve">[0.66, 0.73]) was clearly separated from that for</w:t>
      </w:r>
      <w:r>
        <w:t xml:space="preserve"> </w:t>
      </w:r>
      <m:oMath>
        <m:sSub>
          <m:e>
            <m:r>
              <m:t>c</m:t>
            </m:r>
          </m:e>
          <m:sub>
            <m:r>
              <m:t>s</m:t>
            </m:r>
          </m:sub>
        </m:sSub>
      </m:oMath>
      <w:r>
        <w:t xml:space="preserve"> </w:t>
      </w:r>
      <w:r>
        <w:t xml:space="preserve">(median = 0.97, CI</w:t>
      </w:r>
      <w:r>
        <w:rPr>
          <w:vertAlign w:val="subscript"/>
        </w:rPr>
        <w:t xml:space="preserve">95%</w:t>
      </w:r>
      <w:r>
        <w:t xml:space="preserve">[0.91, 1.00]). This descriptive feature of the model’s output, which we term model-inferred dissonance, provides a data-driven and falsifiable hypothesis: that the baseline RR interval and its variability can recover to distinct and dissociable extents in response to an acute exercise stressor. This hypothesis is a quantitative statement, grounded in the posterior probability distributions of the model’s parameters.</w:t>
      </w:r>
    </w:p>
    <w:p>
      <w:pPr>
        <w:pStyle w:val="MDPI31text"/>
      </w:pPr>
      <w:r>
        <w:t xml:space="preserve">Empirical and visual model diagnostics can be seen in the supplementary material. Complete traceplots, posterior distributions and MCMC diagnostics can be seen in Figure S6, S7 and Table S1, respectively. Posterior and distributional predictive checks can be seen in Figure S8 and S9.</w:t>
      </w:r>
    </w:p>
    <w:p>
      <w:pPr>
        <w:pStyle w:val="MDPI21heading1"/>
      </w:pPr>
      <w:r>
        <w:t xml:space="preserve">3. Discussion</w:t>
      </w:r>
    </w:p>
    <w:p>
      <w:pPr>
        <w:pStyle w:val="MDPI31text"/>
      </w:pPr>
      <w:r>
        <w:t xml:space="preserve">The quantitative analysis of HRV has long been a primary method for the non-invasive study of the autonomic nervous system</w:t>
      </w:r>
      <w:r>
        <w:t xml:space="preserve"> </w:t>
      </w:r>
      <w:r>
        <w:t xml:space="preserve">[2,23]</w:t>
      </w:r>
      <w:r>
        <w:t xml:space="preserve">. A persistent challenge in this field is the inherent non-stationarity of physiological signals, which directly conflicts with the foundational assumptions of traditional analytical techniques</w:t>
      </w:r>
      <w:r>
        <w:t xml:space="preserve"> </w:t>
      </w:r>
      <w:r>
        <w:t xml:space="preserve">[11,12,24]</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[13,25]</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MDPI31text"/>
      </w:pPr>
      <w:r>
        <w:t xml:space="preserve">The primary contribution of this research is the synthesis and application of established Bayesian inference principles to construct a purpose-built, physiologically oriented measurement instrument</w:t>
      </w:r>
      <w:r>
        <w:t xml:space="preserve"> </w:t>
      </w:r>
      <w:r>
        <w:t xml:space="preserve">[26]</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in its formal statistical sense: the model specifies a complete joint probability distribution over both parameters and observed data, such that synthetic RRi series can, in principle, be simulated forward from any given parameter set, and Bayesian inference can be run in reverse to recover a posterior distribution over those parameters given observed data. This usage should be clearly distinguished from a mechanistic or biophysical generative model of the underlying physiology. BAND does not simulate the coupled dynamics of vagal efferent activity, sympathetic outflow, baroreflex gain, or sinoatrial node pacemaker kinetics; it generates the statistical shape of the RRi signal, not the biological processes that produce it. The double-logistic and spectral-oscillator components should therefore be understood as a flexible, phenomenological description of how the signal’s mean and variance evolve, chosen for its mathematical tractability and interpretability, rather than as a reduced-form representation of any specific physiological circuit. The internal validity and statistical integrity of this inferential process were examined through extensive simulation studies. In these controlled</w:t>
      </w:r>
      <w:r>
        <w:t xml:space="preserve"> </w:t>
      </w:r>
      <w:r>
        <w:rPr>
          <w:i/>
          <w:iCs/>
        </w:rPr>
        <w:t xml:space="preserve">in silico</w:t>
      </w:r>
      <w:r>
        <w:t xml:space="preserve"> </w:t>
      </w:r>
      <w:r>
        <w:t xml:space="preserve">experiments, where the ground truth was known, the model consistently recovered the generative parameters, and its posterior credible intervals were well-calibrated</w:t>
      </w:r>
      <w:r>
        <w:t xml:space="preserve"> </w:t>
      </w:r>
      <w:r>
        <w:t xml:space="preserve">[27,28]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under conditions matching its own generative assumptions, more accurate performance in tracking dynamic signals was observed. This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p>
      <w:pPr>
        <w:pStyle w:val="MDPI22heading2"/>
      </w:pPr>
      <w:r>
        <w:t xml:space="preserve">3.1. Methodological Trade-offs and the Abandonment of Stationarity</w:t>
      </w:r>
    </w:p>
    <w:p>
      <w:pPr>
        <w:pStyle w:val="MDPI31text"/>
      </w:pPr>
      <w:r>
        <w:t xml:space="preserve">A core assertion of this work is that the analytical shortcomings of traditional HRV analysis are conceptual, not merely technical. Windowed methods are, in essence, digital filters</w:t>
      </w:r>
      <w:r>
        <w:t xml:space="preserve"> </w:t>
      </w:r>
      <w:r>
        <w:t xml:space="preserve">[29]</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[30]</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[31]</w:t>
      </w:r>
      <w:r>
        <w:t xml:space="preserve">.</w:t>
      </w:r>
    </w:p>
    <w:p>
      <w:pPr>
        <w:pStyle w:val="MDPI31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[32,33]</w:t>
      </w:r>
      <w:r>
        <w:t xml:space="preserve">; nonetheless, it is a convenient simplification of cardiovascular physiology.</w:t>
      </w:r>
    </w:p>
    <w:p>
      <w:pPr>
        <w:pStyle w:val="MDPI31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[34,35]</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[36]</w:t>
      </w:r>
      <w:r>
        <w:t xml:space="preserve">.</w:t>
      </w:r>
    </w:p>
    <w:p>
      <w:pPr>
        <w:pStyle w:val="MDPI31text"/>
      </w:pPr>
      <w:r>
        <w:t xml:space="preserve">This caveat extends to the standard physiological labels conventionally attached to each frequency band, and we state them explicitly here because they apply throughout this manuscript wherever spectral band proportions are discussed, including the empirical case study in Section 2.2. High-frequency (HF) power is often equated with parasympathetic (vagal) activity, but this equivalence is only secure when respiratory rate and depth are also measured and shown to remain within the canonical HF band; without concurrent respiratory monitoring, HF amplitude should be treated as an index of oscillatory power in that frequency range, not a validated measure of vagal tone</w:t>
      </w:r>
      <w:r>
        <w:t xml:space="preserve"> </w:t>
      </w:r>
      <w:r>
        <w:t xml:space="preserve">[37]</w:t>
      </w:r>
      <w:r>
        <w:t xml:space="preserve">. Low-frequency (LF) power is even less specific: it reflects a mixture of sympathetic, parasympathetic, and baroreflex-mediated influences rather than sympathetic activity alone, and the once-common LF/HF ratio as a marker of</w:t>
      </w:r>
      <w:r>
        <w:t xml:space="preserve"> </w:t>
      </w:r>
      <w:r>
        <w:t xml:space="preserve">“sympathovagal balance”</w:t>
      </w:r>
      <w:r>
        <w:t xml:space="preserve"> </w:t>
      </w:r>
      <w:r>
        <w:t xml:space="preserve">is not supported by current evidence</w:t>
      </w:r>
      <w:r>
        <w:t xml:space="preserve"> </w:t>
      </w:r>
      <w:r>
        <w:t xml:space="preserve">[37]</w:t>
      </w:r>
      <w:r>
        <w:t xml:space="preserve">. Very-low-frequency (VLF) power is the least well characterized physiologically, and its estimation from short, single-event recordings of the kind analyzed here carries particularly limited interpretability, given the small number of complete VLF cycles such records typically contain</w:t>
      </w:r>
      <w:r>
        <w:t xml:space="preserve"> </w:t>
      </w:r>
      <w:r>
        <w:t xml:space="preserve">[37]</w:t>
      </w:r>
      <w:r>
        <w:t xml:space="preserve">.</w:t>
      </w:r>
    </w:p>
    <w:p>
      <w:pPr>
        <w:pStyle w:val="MDPI22heading2"/>
      </w:pPr>
      <w:r>
        <w:t xml:space="preserve">3.2. From Statistical Constructs to Biological Reality</w:t>
      </w:r>
    </w:p>
    <w:p>
      <w:pPr>
        <w:pStyle w:val="MDPI31text"/>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[38,39]</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[40]</w:t>
      </w:r>
      <w:r>
        <w:t xml:space="preserve">. While the parameter perfectly describes a feature of the fitted mathematical curve, it is an unsubstantiated inferential leap to equate it with a singular neurophysiological mechanism</w:t>
      </w:r>
      <w:r>
        <w:t xml:space="preserve"> </w:t>
      </w:r>
      <w:r>
        <w:t xml:space="preserve">[39,41]</w:t>
      </w:r>
      <w:r>
        <w:t xml:space="preserve">. The observed recovery trajectory is the net result of an immensely complex cascade of interacting neural, endocrine, and humoral processes</w:t>
      </w:r>
      <w:r>
        <w:t xml:space="preserve"> </w:t>
      </w:r>
      <w:r>
        <w:t xml:space="preserve">[13,35,42]</w:t>
      </w:r>
      <w:r>
        <w:t xml:space="preserve">. The model’s parameterization of this trajectory is a descriptive summary, rather than an elucidation of its constituent parts.</w:t>
      </w:r>
    </w:p>
    <w:p>
      <w:pPr>
        <w:pStyle w:val="MDPI31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the baseline RR interval recovers to its resting value far more quickly than measures of heart rate variability recover to theirs</w:t>
      </w:r>
      <w:r>
        <w:t xml:space="preserve"> </w:t>
      </w:r>
      <w:r>
        <w:t xml:space="preserve">[43]</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[44]</w:t>
      </w:r>
      <w:r>
        <w:t xml:space="preserve">, but it cannot, on its own, provide definitive causal evidence.</w:t>
      </w:r>
    </w:p>
    <w:p>
      <w:pPr>
        <w:pStyle w:val="MDPI31text"/>
      </w:pPr>
      <w:r>
        <w:t xml:space="preserve">This proposed dissociation is not without physiological precedent, and situating it against known autonomic kinetics helps clarify why it is a plausible hypothesis rather than an ad hoc pattern. The two branches of the autonomic nervous system act on markedly different timescales: parasympathetic (vagal) influence on the sinoatrial node is mediated by acetylcholine acting through fast-activating potassium channels and is rapidly terminated by local acetylcholinesterase activity, producing beat-to-beat changes in heart period within a few cardiac cycles</w:t>
      </w:r>
      <w:r>
        <w:t xml:space="preserve"> </w:t>
      </w:r>
      <w:r>
        <w:rPr>
          <w:i/>
          <w:iCs/>
        </w:rPr>
        <w:t xml:space="preserve">[citation needed: vagal time constant of heart-rate control]</w:t>
      </w:r>
      <w:r>
        <w:t xml:space="preserve">. Sympathetic influence, by contrast, is mediated by norepinephrine acting through slower second-messenger cascades and is cleared more gradually through reuptake and diffusion, so its effects unfold over tens of seconds to minutes</w:t>
      </w:r>
      <w:r>
        <w:t xml:space="preserve"> </w:t>
      </w:r>
      <w:r>
        <w:rPr>
          <w:i/>
          <w:iCs/>
        </w:rPr>
        <w:t xml:space="preserve">[citation needed: sympathetic/catecholamine kinetics in cardiac recovery]</w:t>
      </w:r>
      <w:r>
        <w:t xml:space="preserve">. If the comparatively fast recovery of mean RRi observed here reflects predominantly vagal reactivation, while the slower recovery of total variability reflects a more gradual sympathovagal rebalancing, a dissonant pattern of this kind is broadly consistent with these established differences in autonomic kinetics.</w:t>
      </w:r>
    </w:p>
    <w:p>
      <w:pPr>
        <w:pStyle w:val="MDPI31text"/>
      </w:pPr>
      <w:r>
        <w:t xml:space="preserve">A related candidate mechanism is post-exercise baroreflex resetting. Baroreflex sensitivity is transiently blunted following acute exercise and returns to baseline on its own, comparatively slow timescale, which need not coincide with the return of heart rate to resting values</w:t>
      </w:r>
      <w:r>
        <w:t xml:space="preserve"> </w:t>
      </w:r>
      <w:r>
        <w:t xml:space="preserve">[34,35]</w:t>
      </w:r>
      <w:r>
        <w:t xml:space="preserve">. Because baroreflex-mediated buffering contributes substantially to the oscillatory, rhythmic component of RRi variability that the model’s spectral decomposition targets, a lag between baroreflex recovery and heart-period recovery offers a second, non-mutually-exclusive physiological candidate for the pattern the model detects. Consistent with the interpretive caution urged throughout this section, we emphasize that the present analysis cannot adjudicate between these or other specific mechanisms; its purpose is to establish that the dissonance hypothesis is grounded in established autonomic physiology rather than a statistical artifact, and that it therefore merits the kind of targeted, mechanism-isolating follow-up (e.g., pharmacological blockade studies) proposed in Section 3.4.</w:t>
      </w:r>
    </w:p>
    <w:p>
      <w:pPr>
        <w:pStyle w:val="MDPI31text"/>
      </w:pPr>
      <w:r>
        <w:t xml:space="preserve">Nowhere is this interpretive caution more warranted than with the structured variance fraction,</w:t>
      </w:r>
      <w:r>
        <w:t xml:space="preserve"> </w:t>
      </w:r>
      <m:oMath>
        <m:r>
          <m:t>w</m:t>
        </m:r>
      </m:oMath>
      <w:r>
        <w:t xml:space="preserve">. At its core,</w:t>
      </w:r>
      <w:r>
        <w:t xml:space="preserve"> </w:t>
      </w:r>
      <m:oMath>
        <m:r>
          <m:t>w</m:t>
        </m:r>
      </m:oMath>
      <w:r>
        <w:t xml:space="preserve"> </w:t>
      </w:r>
      <w:r>
        <w:t xml:space="preserve">is simply the proportion of signal variance captured by a fixed set of sinusoids, and it should be described in no more specific terms than that. A reduction in</w:t>
      </w:r>
      <w:r>
        <w:t xml:space="preserve"> </w:t>
      </w:r>
      <m:oMath>
        <m:r>
          <m:t>w</m:t>
        </m:r>
      </m:oMath>
      <w:r>
        <w:t xml:space="preserve"> </w:t>
      </w:r>
      <w:r>
        <w:t xml:space="preserve">could plausibly reflect a pathological dysregulation of autonomic rhythms</w:t>
      </w:r>
      <w:r>
        <w:t xml:space="preserve"> </w:t>
      </w:r>
      <w:r>
        <w:t xml:space="preserve">[45]</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[12–14]</w:t>
      </w:r>
      <w:r>
        <w:t xml:space="preserve">. Labeling this or any other model parameter with a specific physiological construct is, at best, premature and risks imbuing it with a degree of certainty that it does not currently warrant.</w:t>
      </w:r>
    </w:p>
    <w:p>
      <w:pPr>
        <w:pStyle w:val="MDPI22heading2"/>
      </w:pPr>
      <w:r>
        <w:t xml:space="preserve">3.3. Limitations</w:t>
      </w:r>
    </w:p>
    <w:p>
      <w:pPr>
        <w:pStyle w:val="MDPI31text"/>
      </w:pPr>
      <w:r>
        <w:t xml:space="preserve">The model’s architecture is built upon a series of rigid assumptions. The choice of a symmetric double-logistic function is primarily mathematical</w:t>
      </w:r>
      <w:r>
        <w:t xml:space="preserve"> </w:t>
      </w:r>
      <w:r>
        <w:t xml:space="preserve">[22]</w:t>
      </w:r>
      <w:r>
        <w:t xml:space="preserve">, not a physiological imperative. Many biological recovery processes exhibiting asymmetry, hysteresis, or multi-timescale recovery would be poorly approximated by this functional form. Moreover, the model is a specialist instrument designed for a single, isolated perturbation-recovery event</w:t>
      </w:r>
      <w:r>
        <w:t xml:space="preserve"> </w:t>
      </w:r>
      <w:r>
        <w:t xml:space="preserve">[22]</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[12,24]</w:t>
      </w:r>
      <w:r>
        <w:t xml:space="preserve">. It is a tool for confirmatory, not exploratory science.</w:t>
      </w:r>
    </w:p>
    <w:p>
      <w:pPr>
        <w:pStyle w:val="MDPI31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MDPI31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[26]</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[46]</w:t>
      </w:r>
      <w:r>
        <w:t xml:space="preserve">. Without a systematic exploration of this</w:t>
      </w:r>
      <w:r>
        <w:t xml:space="preserve"> </w:t>
      </w:r>
      <w:r>
        <w:t xml:space="preserve">“model space”</w:t>
      </w:r>
      <w:r>
        <w:t xml:space="preserve">, the conclusions drawn from this single model must be regarded as highly provisional.</w:t>
      </w:r>
    </w:p>
    <w:p>
      <w:pPr>
        <w:pStyle w:val="MDPI31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p>
      <w:pPr>
        <w:pStyle w:val="MDPI22heading2"/>
      </w:pPr>
      <w:r>
        <w:t xml:space="preserve">3.4. Future Directions</w:t>
      </w:r>
    </w:p>
    <w:p>
      <w:pPr>
        <w:pStyle w:val="MDPI31text"/>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MDPI31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following the precedent set by open physiological-signal repositories such as PhysioNet</w:t>
      </w:r>
      <w:r>
        <w:t xml:space="preserve"> </w:t>
      </w:r>
      <w:r>
        <w:t xml:space="preserve">[47]</w:t>
      </w:r>
      <w:r>
        <w:t xml:space="preserve">.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MDPI31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[44,46]</w:t>
      </w:r>
      <w:r>
        <w:t xml:space="preserve">.</w:t>
      </w:r>
    </w:p>
    <w:p>
      <w:pPr>
        <w:pStyle w:val="MDPI31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p>
      <w:pPr>
        <w:pStyle w:val="MDPI21heading1"/>
      </w:pPr>
      <w:r>
        <w:t xml:space="preserve">4. Material and Methods</w:t>
      </w:r>
    </w:p>
    <w:p>
      <w:pPr>
        <w:pStyle w:val="MDPI22heading2"/>
      </w:pPr>
      <w:r>
        <w:t xml:space="preserve">4.1. Model Formulation</w:t>
      </w:r>
    </w:p>
    <w:p>
      <w:pPr>
        <w:pStyle w:val="MDPI31text"/>
      </w:pPr>
      <w:r>
        <w:t xml:space="preserve">This section details the formulation of the BAND model, a comprehensive generative framework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components that are interpretable in relation to autonomic physiology, providing a phenomenological description, rather than a mechanistic account, of the processes that shape heart rate dynamics (see Section 3 for a full discussion of this distinction).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approach moves beyond simple curve-fitting to formalize a structured, testable description of autonomic dynamics and its temporal evolution within a fully Bayesian framework.</w:t>
      </w:r>
    </w:p>
    <w:p>
      <w:pPr>
        <w:pStyle w:val="MDPI31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oscillatory, rhythmic patterns of HRV that the model treats as structured,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ipervnculo"/>
          </w:rPr>
          <w:t xml:space="preserve">Equation 1</w:t>
        </w:r>
      </w:hyperlink>
      <w:r>
        <w:t xml:space="preserve">.</w:t>
      </w:r>
    </w:p>
    <w:p>
      <w:pPr>
        <w:pStyle w:val="MDPI31text"/>
      </w:pPr>
      <w:bookmarkStart w:id="36"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Sup>
                <m:e>
                  <m:r>
                    <m:t>σ</m:t>
                  </m:r>
                </m:e>
                <m:sub>
                  <m:r>
                    <m:rPr>
                      <m:nor/>
                      <m:sty m:val="p"/>
                    </m:rPr>
                    <m:t>resid</m:t>
                  </m:r>
                </m:sub>
                <m:sup>
                  <m:r>
                    <m:t>2</m:t>
                  </m:r>
                </m:sup>
              </m:sSubSup>
              <m:d>
                <m:dPr>
                  <m:begChr m:val="("/>
                  <m:sepChr m:val=""/>
                  <m:endChr m:val=")"/>
                  <m:grow/>
                </m:dPr>
                <m:e>
                  <m:sSub>
                    <m:e>
                      <m:r>
                        <m:t>t</m:t>
                      </m:r>
                    </m:e>
                    <m:sub>
                      <m:r>
                        <m:t>i</m:t>
                      </m:r>
                    </m:sub>
                  </m:sSub>
                </m:e>
              </m:d>
            </m:e>
          </m:d>
          <m:r>
            <m:t>  </m:t>
          </m:r>
          <m:d>
            <m:dPr>
              <m:begChr m:val="("/>
              <m:sepChr m:val=""/>
              <m:endChr m:val=")"/>
              <m:grow/>
            </m:dPr>
            <m:e>
              <m:r>
                <m:t>1</m:t>
              </m:r>
            </m:e>
          </m:d>
        </m:oMath>
      </m:oMathPara>
      <w:bookmarkEnd w:id="36"/>
    </w:p>
    <w:p>
      <w:pPr>
        <w:pStyle w:val="MDPI31text"/>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ipervnculo"/>
          </w:rPr>
          <w:t xml:space="preserve">Equation 2</w:t>
        </w:r>
      </w:hyperlink>
      <w:r>
        <w:t xml:space="preserve">.</w:t>
      </w:r>
    </w:p>
    <w:p>
      <w:pPr>
        <w:pStyle w:val="MDPI31text"/>
      </w:pPr>
      <w:bookmarkStart w:id="37"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7"/>
    </w:p>
    <w:p>
      <w:pPr>
        <w:pStyle w:val="MDPI31text"/>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MDPI31text"/>
      </w:pPr>
      <w:r>
        <w:t xml:space="preserve">We partition the total signal variability, denoted</w:t>
      </w:r>
      <w:r>
        <w:t xml:space="preserve"> </w:t>
      </w:r>
      <m:oMath>
        <m:sSub>
          <m:e>
            <m:r>
              <m:t>σ</m:t>
            </m:r>
          </m:e>
          <m:sub>
            <m:r>
              <m:rPr>
                <m:nor/>
                <m:sty m:val="p"/>
              </m:rPr>
              <m:t>total</m:t>
            </m:r>
          </m:sub>
        </m:sSub>
        <m:sSup>
          <m:e>
            <m:d>
              <m:dPr>
                <m:begChr m:val="("/>
                <m:sepChr m:val=""/>
                <m:endChr m:val=")"/>
                <m:grow/>
              </m:dPr>
              <m:e>
                <m:sSub>
                  <m:e>
                    <m:r>
                      <m:t>t</m:t>
                    </m:r>
                  </m:e>
                  <m:sub>
                    <m:r>
                      <m:t>i</m:t>
                    </m:r>
                  </m:sub>
                </m:sSub>
              </m:e>
            </m:d>
          </m:e>
          <m:sup>
            <m:r>
              <m:t>2</m:t>
            </m:r>
          </m:sup>
        </m:sSup>
      </m:oMath>
      <w:r>
        <w:t xml:space="preserve"> </w:t>
      </w:r>
      <w:r>
        <w:t xml:space="preserve">(the model’s continuous-time analogue of conventional SDNN; we use this notation, rather than</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to make clear that it is a latent, instantaneously-defined scale parameter rather than a windowed sample statistic — see Section 3 for further discussion), into two components. This partition is governed by a single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that is considered structured (i.e., oscillatory). The remaining fraction, (</w:t>
      </w:r>
      <m:oMath>
        <m:r>
          <m:t>1</m:t>
        </m:r>
        <m:r>
          <m:rPr>
            <m:sty m:val="p"/>
          </m:rPr>
          <m:t>−</m:t>
        </m:r>
        <m:r>
          <m:t>w</m:t>
        </m:r>
      </m:oMath>
      <w:r>
        <w:t xml:space="preserve">), is treated as unstructured residual noise.</w:t>
      </w:r>
      <w:r>
        <w:t xml:space="preserve"> </w:t>
      </w:r>
      <m:oMath>
        <m:r>
          <m:t>w</m:t>
        </m:r>
      </m:oMath>
      <w:r>
        <w:t xml:space="preserve"> </w:t>
      </w:r>
      <w:r>
        <w:t xml:space="preserve">is estimated once per recording and is constant over its entire duration; it therefore describes the overall, record-level balance between structured and residual variance, rather than a balance that itself evolves over time. This relationship is formalized in</w:t>
      </w:r>
      <w:r>
        <w:t xml:space="preserve"> </w:t>
      </w:r>
      <w:hyperlink w:anchor="eq-var-structure">
        <w:r>
          <w:rPr>
            <w:rStyle w:val="Hipervnculo"/>
          </w:rPr>
          <w:t xml:space="preserve">Equation 3</w:t>
        </w:r>
      </w:hyperlink>
      <w:r>
        <w:t xml:space="preserve">.</w:t>
      </w:r>
    </w:p>
    <w:p>
      <w:pPr>
        <w:pStyle w:val="MDPI31text"/>
      </w:pPr>
      <w:bookmarkStart w:id="38"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sSub>
                  <m:e>
                    <m:r>
                      <m:t>σ</m:t>
                    </m:r>
                  </m:e>
                  <m:sub>
                    <m:r>
                      <m:rPr>
                        <m:nor/>
                        <m:sty m:val="p"/>
                      </m:rPr>
                      <m:t>total</m:t>
                    </m:r>
                  </m:sub>
                </m:sSub>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sSub>
                  <m:e>
                    <m:r>
                      <m:t>σ</m:t>
                    </m:r>
                  </m:e>
                  <m:sub>
                    <m:r>
                      <m:rPr>
                        <m:nor/>
                        <m:sty m:val="p"/>
                      </m:rPr>
                      <m:t>total</m:t>
                    </m:r>
                  </m:sub>
                </m:sSub>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8"/>
    </w:p>
    <w:p>
      <w:pPr>
        <w:pStyle w:val="MDPI31text"/>
      </w:pPr>
      <w:r>
        <w:t xml:space="preserve">This formulation allows the model to infer how the total amount of HRV changes over time, via</w:t>
      </w:r>
      <w:r>
        <w:t xml:space="preserve"> </w:t>
      </w:r>
      <m:oMath>
        <m:sSub>
          <m:e>
            <m:r>
              <m:t>σ</m:t>
            </m:r>
          </m:e>
          <m:sub>
            <m:r>
              <m:rPr>
                <m:nor/>
                <m:sty m:val="p"/>
              </m:rPr>
              <m:t>total</m:t>
            </m:r>
          </m:sub>
        </m:sSub>
        <m:d>
          <m:dPr>
            <m:begChr m:val="("/>
            <m:sepChr m:val=""/>
            <m:endChr m:val=")"/>
            <m:grow/>
          </m:dPr>
          <m:e>
            <m:sSub>
              <m:e>
                <m:r>
                  <m:t>t</m:t>
                </m:r>
              </m:e>
              <m:sub>
                <m:r>
                  <m:t>i</m:t>
                </m:r>
              </m:sub>
            </m:sSub>
          </m:e>
        </m:d>
      </m:oMath>
      <w:r>
        <w:t xml:space="preserve">, while</w:t>
      </w:r>
      <w:r>
        <w:t xml:space="preserve"> </w:t>
      </w:r>
      <m:oMath>
        <m:r>
          <m:t>w</m:t>
        </m:r>
      </m:oMath>
      <w:r>
        <w:t xml:space="preserve"> </w:t>
      </w:r>
      <w:r>
        <w:t xml:space="preserve">separately and simultaneously captures the record-level balance between predictable, oscillatory patterns and unpredictable noise. This joint analysis facilitates a deeper understanding of autonomic regulation by capturing phenomena across both time and frequency domains within a single, coherent inferential framework.</w:t>
      </w:r>
    </w:p>
    <w:p>
      <w:pPr>
        <w:pStyle w:val="MDPI23heading3"/>
      </w:pPr>
      <w:r>
        <w:t xml:space="preserve">4.1.1. Baseline Heart Period and Total Variability Trajectories</w:t>
      </w:r>
    </w:p>
    <w:p>
      <w:pPr>
        <w:pStyle w:val="MDPI31text"/>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sSub>
          <m:e>
            <m:r>
              <m:t>σ</m:t>
            </m:r>
          </m:e>
          <m:sub>
            <m:r>
              <m:rPr>
                <m:nor/>
                <m:sty m:val="p"/>
              </m:rPr>
              <m:t>total</m:t>
            </m:r>
          </m:sub>
        </m:sSub>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MDPI31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ipervnculo"/>
          </w:rPr>
          <w:t xml:space="preserve">Equation 4</w:t>
        </w:r>
      </w:hyperlink>
      <w:r>
        <w:t xml:space="preserve">.</w:t>
      </w:r>
    </w:p>
    <w:p>
      <w:pPr>
        <w:pStyle w:val="MDPI31text"/>
      </w:pPr>
      <w:bookmarkStart w:id="39"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9"/>
    </w:p>
    <w:p>
      <w:pPr>
        <w:pStyle w:val="MDPI31text"/>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or increase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MDPI31text"/>
      </w:pPr>
      <w:r>
        <w:t xml:space="preserve">Concurrently, the total instantaneous variability,</w:t>
      </w:r>
      <w:r>
        <w:t xml:space="preserve"> </w:t>
      </w:r>
      <m:oMath>
        <m:sSub>
          <m:e>
            <m:r>
              <m:t>σ</m:t>
            </m:r>
          </m:e>
          <m:sub>
            <m:r>
              <m:rPr>
                <m:nor/>
                <m:sty m:val="p"/>
              </m:rPr>
              <m:t>total</m:t>
            </m:r>
          </m:sub>
        </m:sSub>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ipervnculo"/>
          </w:rPr>
          <w:t xml:space="preserve">Equation 5</w:t>
        </w:r>
      </w:hyperlink>
      <w:r>
        <w:t xml:space="preserve">.</w:t>
      </w:r>
    </w:p>
    <w:p>
      <w:pPr>
        <w:pStyle w:val="MDPI31text"/>
      </w:pPr>
      <w:bookmarkStart w:id="40" w:name="eq-sdnn-model"/>
      <m:oMathPara>
        <m:oMathParaPr>
          <m:jc m:val="center"/>
        </m:oMathParaPr>
        <m:oMath>
          <m:sSub>
            <m:e>
              <m:r>
                <m:t>σ</m:t>
              </m:r>
            </m:e>
            <m:sub>
              <m:r>
                <m:rPr>
                  <m:nor/>
                  <m:sty m:val="p"/>
                </m:rPr>
                <m:t>total</m:t>
              </m:r>
            </m:sub>
          </m:sSub>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40"/>
    </w:p>
    <w:p>
      <w:pPr>
        <w:pStyle w:val="MDPI31text"/>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SDNN-scale, the magnitude of its suppression or increase, and its fractional recovery, respectively. The</w:t>
      </w:r>
      <w:r>
        <w:t xml:space="preserve"> </w:t>
      </w:r>
      <m:oMath>
        <m:sSub>
          <m:e>
            <m:r>
              <m:t>σ</m:t>
            </m:r>
          </m:e>
          <m:sub>
            <m:r>
              <m:rPr>
                <m:nor/>
                <m:sty m:val="p"/>
              </m:rPr>
              <m:t>total</m:t>
            </m:r>
          </m:sub>
        </m:sSub>
        <m:d>
          <m:dPr>
            <m:begChr m:val="("/>
            <m:sepChr m:val=""/>
            <m:endChr m:val=")"/>
            <m:grow/>
          </m:dPr>
          <m:e>
            <m:sSub>
              <m:e>
                <m:r>
                  <m:t>t</m:t>
                </m:r>
              </m:e>
              <m:sub>
                <m:r>
                  <m:t>i</m:t>
                </m:r>
              </m:sub>
            </m:sSub>
          </m:e>
        </m:d>
      </m:oMath>
      <w:r>
        <w:t xml:space="preserve"> </w:t>
      </w:r>
      <w:r>
        <w:t xml:space="preserve">trajectory thus serves as a master controller for the total instantaneous variability in the signal. This total variance is then partitioned into a structured, oscillatory component and an unstructured, residual noise component, as defined in</w:t>
      </w:r>
      <w:r>
        <w:t xml:space="preserve"> </w:t>
      </w:r>
      <w:hyperlink w:anchor="eq-var-structure">
        <w:r>
          <w:rPr>
            <w:rStyle w:val="Hipervnculo"/>
          </w:rPr>
          <w:t xml:space="preserve">Equation 3</w:t>
        </w:r>
      </w:hyperlink>
      <w:r>
        <w:t xml:space="preserve">.</w:t>
      </w:r>
    </w:p>
    <w:p>
      <w:pPr>
        <w:pStyle w:val="MDPI31text"/>
      </w:pPr>
      <w:r>
        <w:t xml:space="preserve">The dynamics for both trajectories (i.e.,</w:t>
      </w:r>
      <w:r>
        <w:t xml:space="preserve"> </w:t>
      </w:r>
      <m:oMath>
        <m:r>
          <m:rPr>
            <m:sty m:val="p"/>
          </m:rPr>
          <m:t>R</m:t>
        </m:r>
        <m:sSub>
          <m:e>
            <m:r>
              <m:rPr>
                <m:sty m:val="p"/>
              </m:rPr>
              <m:t>R</m:t>
            </m:r>
          </m:e>
          <m:sub>
            <m:r>
              <m:rPr>
                <m:sty m:val="p"/>
              </m:rPr>
              <m:t>b</m:t>
            </m:r>
            <m:r>
              <m:rPr>
                <m:sty m:val="p"/>
              </m:rPr>
              <m:t>a</m:t>
            </m:r>
            <m:r>
              <m:rPr>
                <m:sty m:val="p"/>
              </m:rPr>
              <m:t>s</m:t>
            </m:r>
            <m:r>
              <m:rPr>
                <m:sty m:val="p"/>
              </m:rPr>
              <m:t>e</m:t>
            </m:r>
          </m:sub>
        </m:sSub>
      </m:oMath>
      <w:r>
        <w:t xml:space="preserve"> </w:t>
      </w:r>
      <w:r>
        <w:t xml:space="preserve">and</w:t>
      </w:r>
      <w:r>
        <w:t xml:space="preserve"> </w:t>
      </w:r>
      <m:oMath>
        <m:sSub>
          <m:e>
            <m:r>
              <m:t>σ</m:t>
            </m:r>
          </m:e>
          <m:sub>
            <m:r>
              <m:rPr>
                <m:nor/>
                <m:sty m:val="p"/>
              </m:rPr>
              <m:t>total</m:t>
            </m:r>
          </m:sub>
        </m:sSub>
      </m:oMath>
      <w:r>
        <w:t xml:space="preserve">),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ipervnculo"/>
          </w:rPr>
          <w:t xml:space="preserve">Equation 6</w:t>
        </w:r>
      </w:hyperlink>
      <w:r>
        <w:t xml:space="preserve">.</w:t>
      </w:r>
    </w:p>
    <w:p>
      <w:pPr>
        <w:pStyle w:val="MDPI31text"/>
      </w:pPr>
      <w:bookmarkStart w:id="41"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41"/>
    </w:p>
    <w:p>
      <w:pPr>
        <w:pStyle w:val="MDPI31text"/>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all dynamic components of the model are driven by a single, unified underlying process.</w:t>
      </w:r>
    </w:p>
    <w:p>
      <w:pPr>
        <w:pStyle w:val="MDPI23heading3"/>
      </w:pPr>
      <w:r>
        <w:t xml:space="preserve">4.1.2. Generative Model for the Structured Signal</w:t>
      </w:r>
    </w:p>
    <w:p>
      <w:pPr>
        <w:pStyle w:val="MDPI31text"/>
      </w:pPr>
      <w:r>
        <w:t xml:space="preserve">The model partitions the signal into structured components, composed of three standard physiological frequency bands: very-low-frequency (VLF) from 0.003 to 0.04 Hz, low-frequency (LF) from 0.04 to 0.15 Hz, and high-frequency (HF) from 0.15 to 0.4 Hz.</w:t>
      </w:r>
    </w:p>
    <w:p>
      <w:pPr>
        <w:pStyle w:val="MDPI31text"/>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p>
      <w:pPr>
        <w:pStyle w:val="MDPI23heading3"/>
      </w:pPr>
      <w:r>
        <w:t xml:space="preserve">4.1.3. Dynamic Frequency Band Proportions</w:t>
      </w:r>
    </w:p>
    <w:p>
      <w:pPr>
        <w:pStyle w:val="MDPI31text"/>
      </w:pPr>
      <w:r>
        <w:t xml:space="preserve">The weights</w:t>
      </w:r>
      <w:r>
        <w:t xml:space="preserve"> </w:t>
      </w:r>
      <m:oMath>
        <m:sSub>
          <m:e>
            <m:r>
              <m:t>p</m:t>
            </m:r>
          </m:e>
          <m:sub>
            <m:r>
              <m:t>j</m:t>
            </m:r>
          </m:sub>
        </m:sSub>
        <m:d>
          <m:dPr>
            <m:begChr m:val="("/>
            <m:sepChr m:val=""/>
            <m:endChr m:val=")"/>
            <m:grow/>
          </m:dPr>
          <m:e>
            <m:sSub>
              <m:e>
                <m:r>
                  <m:t>t</m:t>
                </m:r>
              </m:e>
              <m:sub>
                <m:r>
                  <m:t>i</m:t>
                </m:r>
              </m:sub>
            </m:sSub>
          </m:e>
        </m:d>
      </m:oMath>
      <w:r>
        <w:t xml:space="preserve"> </w:t>
      </w:r>
      <w:r>
        <w:t xml:space="preserve">are mixture (amplitude) weights applied to the underlying spectral oscillators</w:t>
      </w:r>
      <w:r>
        <w:t xml:space="preserve"> </w:t>
      </w:r>
      <m:oMath>
        <m:sSub>
          <m:e>
            <m:r>
              <m:t>S</m:t>
            </m:r>
          </m:e>
          <m:sub>
            <m:r>
              <m:t>j</m:t>
            </m:r>
          </m:sub>
        </m:sSub>
        <m:d>
          <m:dPr>
            <m:begChr m:val="("/>
            <m:sepChr m:val=""/>
            <m:endChr m:val=")"/>
            <m:grow/>
          </m:dPr>
          <m:e>
            <m:sSub>
              <m:e>
                <m:r>
                  <m:t>t</m:t>
                </m:r>
              </m:e>
              <m:sub>
                <m:r>
                  <m:t>i</m:t>
                </m:r>
              </m:sub>
            </m:sSub>
          </m:e>
        </m:d>
      </m:oMath>
      <w:r>
        <w:t xml:space="preserve">; they are not themselves power or variance proportions. Because the variance contributed by each oscillator,</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w:t>
      </w:r>
      <w:r>
        <w:t xml:space="preserve">(Section 4.1.6), need not be identical across bands, the actual fractional contribution of band</w:t>
      </w:r>
      <w:r>
        <w:t xml:space="preserve"> </w:t>
      </w:r>
      <m:oMath>
        <m:r>
          <m:t>j</m:t>
        </m:r>
      </m:oMath>
      <w:r>
        <w:t xml:space="preserve"> </w:t>
      </w:r>
      <w:r>
        <w:t xml:space="preserve">to the structured variance — the quantity properly comparable to power proportions from methods such as the STFT or CWT — is a derived quantity,</w:t>
      </w:r>
      <w:r>
        <w:t xml:space="preserve"> </w:t>
      </w:r>
      <m:oMath>
        <m:sSub>
          <m:e>
            <m:r>
              <m:t>q</m:t>
            </m:r>
          </m:e>
          <m:sub>
            <m:r>
              <m:t>j</m:t>
            </m:r>
          </m:sub>
        </m:sSub>
        <m:d>
          <m:dPr>
            <m:begChr m:val="("/>
            <m:sepChr m:val=""/>
            <m:endChr m:val=")"/>
            <m:grow/>
          </m:dPr>
          <m:e>
            <m:sSub>
              <m:e>
                <m:r>
                  <m:t>t</m:t>
                </m:r>
              </m:e>
              <m:sub>
                <m:r>
                  <m:t>i</m:t>
                </m:r>
              </m:sub>
            </m:sSub>
          </m:e>
        </m:d>
      </m:oMath>
      <w:r>
        <w:t xml:space="preserve"> </w:t>
      </w:r>
      <w:r>
        <w:t xml:space="preserve">(</w:t>
      </w:r>
      <w:hyperlink w:anchor="eq-implied-variance-share">
        <w:r>
          <w:rPr>
            <w:rStyle w:val="Hipervnculo"/>
          </w:rPr>
          <w:t xml:space="preserve">Equation 13</w:t>
        </w:r>
      </w:hyperlink>
      <w:r>
        <w:t xml:space="preserve">), rather than</w:t>
      </w:r>
      <w:r>
        <w:t xml:space="preserve"> </w:t>
      </w:r>
      <m:oMath>
        <m:sSub>
          <m:e>
            <m:r>
              <m:t>p</m:t>
            </m:r>
          </m:e>
          <m:sub>
            <m:r>
              <m:t>j</m:t>
            </m:r>
          </m:sub>
        </m:sSub>
        <m:d>
          <m:dPr>
            <m:begChr m:val="("/>
            <m:sepChr m:val=""/>
            <m:endChr m:val=")"/>
            <m:grow/>
          </m:dPr>
          <m:e>
            <m:sSub>
              <m:e>
                <m:r>
                  <m:t>t</m:t>
                </m:r>
              </m:e>
              <m:sub>
                <m:r>
                  <m:t>i</m:t>
                </m:r>
              </m:sub>
            </m:sSub>
          </m:e>
        </m:d>
      </m:oMath>
      <w:r>
        <w:t xml:space="preserve"> </w:t>
      </w:r>
      <w:r>
        <w:t xml:space="preserve">itself. With this distinction in mind,</w:t>
      </w:r>
      <w:r>
        <w:t xml:space="preserve"> </w:t>
      </w:r>
      <m:oMath>
        <m:acc>
          <m:accPr>
            <m:chr m:val="⃗"/>
          </m:accPr>
          <m:e>
            <m:r>
              <m:t>p</m:t>
            </m:r>
          </m:e>
        </m:acc>
        <m:d>
          <m:dPr>
            <m:begChr m:val="("/>
            <m:sepChr m:val=""/>
            <m:endChr m:val=")"/>
            <m:grow/>
          </m:dPr>
          <m:e>
            <m:sSub>
              <m:e>
                <m:r>
                  <m:t>t</m:t>
                </m:r>
              </m:e>
              <m:sub>
                <m:r>
                  <m:t>i</m:t>
                </m:r>
              </m:sub>
            </m:sSub>
          </m:e>
        </m:d>
      </m:oMath>
      <w:r>
        <w:t xml:space="preserve"> </w:t>
      </w:r>
      <w:r>
        <w:t xml:space="preserve">evolves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w:t>
      </w:r>
      <w:r>
        <w:t xml:space="preserve"> </w:t>
      </w:r>
      <w:hyperlink w:anchor="eq-pj-using-ct">
        <w:r>
          <w:rPr>
            <w:rStyle w:val="Hipervnculo"/>
          </w:rPr>
          <w:t xml:space="preserve">Equation 7</w:t>
        </w:r>
      </w:hyperlink>
      <w:r>
        <w:t xml:space="preserve">. Here,</w:t>
      </w:r>
      <w:r>
        <w:t xml:space="preserve"> </w:t>
      </w:r>
      <m:oMath>
        <m:acc>
          <m:accPr>
            <m:chr m:val="⃗"/>
          </m:accPr>
          <m:e>
            <m:r>
              <m:t>p</m:t>
            </m:r>
          </m:e>
        </m:acc>
        <m:d>
          <m:dPr>
            <m:begChr m:val="("/>
            <m:sepChr m:val=""/>
            <m:endChr m:val=")"/>
            <m:grow/>
          </m:dPr>
          <m:e>
            <m:sSub>
              <m:e>
                <m:r>
                  <m:t>t</m:t>
                </m:r>
              </m:e>
              <m:sub>
                <m:r>
                  <m:t>i</m:t>
                </m:r>
              </m:sub>
            </m:sSub>
          </m:e>
        </m:d>
      </m:oMath>
      <w:r>
        <w:t xml:space="preserve"> </w:t>
      </w:r>
      <w:r>
        <w:t xml:space="preserve">is the 3x1 vector of proportions at time</w:t>
      </w:r>
      <w:r>
        <w:t xml:space="preserve"> </w:t>
      </w:r>
      <m:oMath>
        <m:sSub>
          <m:e>
            <m:r>
              <m:t>t</m:t>
            </m:r>
          </m:e>
          <m:sub>
            <m:r>
              <m:t>i</m:t>
            </m:r>
          </m:sub>
        </m:sSub>
      </m:oMath>
      <w:r>
        <w:t xml:space="preserve">, whose j-th element is</w:t>
      </w:r>
      <w:r>
        <w:t xml:space="preserve"> </w:t>
      </w:r>
      <m:oMath>
        <m:sSub>
          <m:e>
            <m:r>
              <m:t>p</m:t>
            </m:r>
          </m:e>
          <m:sub>
            <m:r>
              <m:t>j</m:t>
            </m:r>
          </m:sub>
        </m:sSub>
        <m:d>
          <m:dPr>
            <m:begChr m:val="("/>
            <m:sepChr m:val=""/>
            <m:endChr m:val=")"/>
            <m:grow/>
          </m:dPr>
          <m:e>
            <m:sSub>
              <m:e>
                <m:r>
                  <m:t>t</m:t>
                </m:r>
              </m:e>
              <m:sub>
                <m:r>
                  <m:t>i</m:t>
                </m:r>
              </m:sub>
            </m:sSub>
          </m:e>
        </m:d>
      </m:oMath>
    </w:p>
    <w:p>
      <w:pPr>
        <w:pStyle w:val="MDPI31text"/>
      </w:pPr>
      <w:bookmarkStart w:id="42"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42"/>
    </w:p>
    <w:p>
      <w:pPr>
        <w:pStyle w:val="MDPI31text"/>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ipervnculo"/>
          </w:rPr>
          <w:t xml:space="preserve">Equation 8</w:t>
        </w:r>
      </w:hyperlink>
      <w:r>
        <w:t xml:space="preserve">.</w:t>
      </w:r>
    </w:p>
    <w:p>
      <w:pPr>
        <w:pStyle w:val="MDPI31text"/>
      </w:pPr>
      <w:bookmarkStart w:id="43"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43"/>
    </w:p>
    <w:p>
      <w:pPr>
        <w:pStyle w:val="MDPI31text"/>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p>
      <w:pPr>
        <w:pStyle w:val="MDPI23heading3"/>
      </w:pPr>
      <w:r>
        <w:t xml:space="preserve">4.1.4. Latent Spectral Oscillators via a Gaussian Process Prior</w:t>
      </w:r>
    </w:p>
    <w:p>
      <w:pPr>
        <w:pStyle w:val="MDPI31text"/>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MDPI31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[48]</w:t>
      </w:r>
      <w:r>
        <w:t xml:space="preserve">. In this context, it formalizes the intuition that the amplitudes of nearby frequencies should be similar, allowing the model to infer the characteristic shape of the spectrum within each band directly from the data.</w:t>
      </w:r>
    </w:p>
    <w:p>
      <w:pPr>
        <w:pStyle w:val="MDPI31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ipervnculo"/>
          </w:rPr>
          <w:t xml:space="preserve">Equation 9</w:t>
        </w:r>
      </w:hyperlink>
      <w:r>
        <w:t xml:space="preserve">.</w:t>
      </w:r>
    </w:p>
    <w:p>
      <w:pPr>
        <w:pStyle w:val="MDPI31text"/>
      </w:pPr>
      <w:bookmarkStart w:id="44"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4"/>
    </w:p>
    <w:p>
      <w:pPr>
        <w:pStyle w:val="MDPI31text"/>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also known as a radial basis function (RBF) kernel, defined in</w:t>
      </w:r>
      <w:r>
        <w:t xml:space="preserve"> </w:t>
      </w:r>
      <w:hyperlink w:anchor="eq-gp-kernel">
        <w:r>
          <w:rPr>
            <w:rStyle w:val="Hipervnculo"/>
          </w:rPr>
          <w:t xml:space="preserve">Equation 10</w:t>
        </w:r>
      </w:hyperlink>
      <w:r>
        <w:t xml:space="preserve">.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p>
      <w:pPr>
        <w:pStyle w:val="MDPI31text"/>
      </w:pPr>
      <w:bookmarkStart w:id="45"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5"/>
    </w:p>
    <w:p>
      <w:pPr>
        <w:pStyle w:val="MDPI31text"/>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w:t>
      </w:r>
      <w:r>
        <w:t xml:space="preserve">(a parameter controlling smoothness, not to be confused with a correlation coefficient), which determines the smoothness of the spectral envelope.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MDPI31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[49]</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p>
      <w:pPr>
        <w:pStyle w:val="MDPI23heading3"/>
      </w:pPr>
      <w:r>
        <w:t xml:space="preserve">4.1.5. Normalization for Identifiability</w:t>
      </w:r>
    </w:p>
    <w:p>
      <w:pPr>
        <w:pStyle w:val="MDPI31text"/>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MDPI31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w:t>
      </w:r>
      <w:r>
        <w:t xml:space="preserve"> </w:t>
      </w:r>
      <m:oMath>
        <m:r>
          <m:t>A</m:t>
        </m:r>
        <m:d>
          <m:dPr>
            <m:begChr m:val="("/>
            <m:sepChr m:val=""/>
            <m:endChr m:val=")"/>
            <m:grow/>
          </m:dPr>
          <m:e>
            <m:sSub>
              <m:e>
                <m:r>
                  <m:t>t</m:t>
                </m:r>
              </m:e>
              <m:sub>
                <m:r>
                  <m:t>i</m:t>
                </m:r>
              </m:sub>
            </m:sSub>
          </m:e>
        </m:d>
      </m:oMath>
      <w:r>
        <w:t xml:space="preserve"> </w:t>
      </w:r>
      <w:r>
        <w:t xml:space="preserve">exclusively determines its absolute magnitude.</w:t>
      </w:r>
    </w:p>
    <w:p>
      <w:pPr>
        <w:pStyle w:val="MDPI31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MDPI31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ipervnculo"/>
          </w:rPr>
          <w:t xml:space="preserve">Equation 11</w:t>
        </w:r>
      </w:hyperlink>
      <w:r>
        <w:t xml:space="preserve">.</w:t>
      </w:r>
    </w:p>
    <w:p>
      <w:pPr>
        <w:pStyle w:val="MDPI31text"/>
      </w:pPr>
      <w:bookmarkStart w:id="46"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6"/>
    </w:p>
    <w:p>
      <w:pPr>
        <w:pStyle w:val="MDPI31text"/>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p>
      <w:pPr>
        <w:pStyle w:val="MDPI23heading3"/>
      </w:pPr>
      <w:r>
        <w:t xml:space="preserve">4.1.6. Deterministic Amplitude Inversion</w:t>
      </w:r>
    </w:p>
    <w:p>
      <w:pPr>
        <w:pStyle w:val="MDPI31text"/>
      </w:pPr>
      <w:r>
        <w:t xml:space="preserve">The final step is to calibrate a deterministic amplitude envelope,</w:t>
      </w:r>
      <w:r>
        <w:t xml:space="preserve"> </w:t>
      </w:r>
      <m:oMath>
        <m:r>
          <m:t>A</m:t>
        </m:r>
        <m:d>
          <m:dPr>
            <m:begChr m:val="("/>
            <m:sepChr m:val=""/>
            <m:endChr m:val=")"/>
            <m:grow/>
          </m:dPr>
          <m:e>
            <m:sSub>
              <m:e>
                <m:r>
                  <m:t>t</m:t>
                </m:r>
              </m:e>
              <m:sub>
                <m:r>
                  <m:t>i</m:t>
                </m:r>
              </m:sub>
            </m:sSub>
          </m:e>
        </m:d>
      </m:oMath>
      <w:r>
        <w:t xml:space="preserve">, so that the resulting signal’s variance — computed via the quadratic form below — matches the target structured variance trajectory,</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We refer to this as an amplitude-envelope calibration rather than an instantaneous variance guarantee: because</w:t>
      </w:r>
      <w:r>
        <w:t xml:space="preserve"> </w:t>
      </w:r>
      <m:oMath>
        <m:sSub>
          <m:e>
            <m:r>
              <m:rPr>
                <m:sty m:val="b"/>
              </m:rPr>
              <m:t>Σ</m:t>
            </m:r>
          </m:e>
          <m:sub>
            <m:r>
              <m:t>S</m:t>
            </m:r>
          </m:sub>
        </m:sSub>
      </m:oMath>
      <w:r>
        <w:t xml:space="preserve"> </w:t>
      </w:r>
      <w:r>
        <w:t xml:space="preserve">(defined below) is a fixed, record-level quantity,</w:t>
      </w:r>
      <w:r>
        <w:t xml:space="preserve"> </w:t>
      </w:r>
      <m:oMath>
        <m:r>
          <m:t>A</m:t>
        </m:r>
        <m:d>
          <m:dPr>
            <m:begChr m:val="("/>
            <m:sepChr m:val=""/>
            <m:endChr m:val=")"/>
            <m:grow/>
          </m:dPr>
          <m:e>
            <m:sSub>
              <m:e>
                <m:r>
                  <m:t>t</m:t>
                </m:r>
              </m:e>
              <m:sub>
                <m:r>
                  <m:t>i</m:t>
                </m:r>
              </m:sub>
            </m:sSub>
          </m:e>
        </m:d>
      </m:oMath>
      <w:r>
        <w:t xml:space="preserve"> </w:t>
      </w:r>
      <w:r>
        <w:t xml:space="preserve">scales a single deterministic realization of the oscillator rather than fixing a genuinely local, repeated-sampling variance at each</w:t>
      </w:r>
      <w:r>
        <w:t xml:space="preserve"> </w:t>
      </w:r>
      <m:oMath>
        <m:sSub>
          <m:e>
            <m:r>
              <m:t>t</m:t>
            </m:r>
          </m:e>
          <m:sub>
            <m:r>
              <m:t>i</m:t>
            </m:r>
          </m:sub>
        </m:sSub>
      </m:oMath>
      <w:r>
        <w:t xml:space="preserve">. We validate numerically, by repeatedly redrawing the latent oscillator coefficients under fixed high-level trajectories and examining the resulting cross-realization variance at each</w:t>
      </w:r>
      <w:r>
        <w:t xml:space="preserve"> </w:t>
      </w:r>
      <m:oMath>
        <m:sSub>
          <m:e>
            <m:r>
              <m:t>t</m:t>
            </m:r>
          </m:e>
          <m:sub>
            <m:r>
              <m:t>i</m:t>
            </m:r>
          </m:sub>
        </m:sSub>
      </m:oMath>
      <w:r>
        <w:t xml:space="preserve">, that this construction closely tracks the target variance under repeated sampling; see the supplementary material. A key feature of the model is that it does not assume the sinusoids form an orthogonal basis over the discrete, finite time domain. Instead, it computes the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 Because each oscillator is subsequently mean-centered before use (so that it represents pure variability rather than a baseline shift), the underlying sine and cosine design matrices are themselves first mean-centered, via a centering operator</w:t>
      </w:r>
      <w:r>
        <w:t xml:space="preserve"> </w:t>
      </w:r>
      <m:oMath>
        <m:r>
          <m:rPr>
            <m:sty m:val="b"/>
          </m:rPr>
          <m:t>H</m:t>
        </m:r>
        <m:r>
          <m:rPr>
            <m:sty m:val="p"/>
          </m:rPr>
          <m:t>=</m:t>
        </m:r>
        <m:r>
          <m:rPr>
            <m:sty m:val="b"/>
          </m:rPr>
          <m:t>I</m:t>
        </m:r>
        <m:r>
          <m:rPr>
            <m:sty m:val="p"/>
          </m:rPr>
          <m:t>−</m:t>
        </m:r>
        <m:f>
          <m:fPr>
            <m:type m:val="bar"/>
          </m:fPr>
          <m:num>
            <m:r>
              <m:t>1</m:t>
            </m:r>
          </m:num>
          <m:den>
            <m:r>
              <m:t>N</m:t>
            </m:r>
          </m:den>
        </m:f>
        <m:r>
          <m:rPr>
            <m:sty m:val="b"/>
          </m:rPr>
          <m:t>1</m:t>
        </m:r>
        <m:sSup>
          <m:e>
            <m:r>
              <m:rPr>
                <m:sty m:val="b"/>
              </m:rPr>
              <m:t>1</m:t>
            </m:r>
          </m:e>
          <m:sup>
            <m:r>
              <m:rPr>
                <m:sty m:val="p"/>
              </m:rPr>
              <m:t>⊤</m:t>
            </m:r>
          </m:sup>
        </m:sSup>
      </m:oMath>
      <w:r>
        <w:t xml:space="preserve">, before the corresponding Gram matrices are formed; this ensures the resulting quadratic form is exactly the sample variance of the mean-centered signal used downstream, and prevents the misestimation of spectral power that would otherwise arise from the non-orthogonality of sinusoidal basis functions over finite, discretely-sampled time intervals.</w:t>
      </w:r>
    </w:p>
    <w:p>
      <w:pPr>
        <w:pStyle w:val="MDPI31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ipervnculo"/>
          </w:rPr>
          <w:t xml:space="preserve">Equation 12</w:t>
        </w:r>
      </w:hyperlink>
      <w:r>
        <w:t xml:space="preserve">; given the non-overlapping frequency ranges of the three bands, we treat their off-diagonal covariance as negligible, and quantify the magnitude of this approximation empirically in the supplementary material by comparison against the full, empirically computed covariance of the realized band signals.</w:t>
      </w:r>
    </w:p>
    <w:p>
      <w:pPr>
        <w:pStyle w:val="MDPI31text"/>
      </w:pPr>
      <w:bookmarkStart w:id="47"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7"/>
    </w:p>
    <w:p>
      <w:pPr>
        <w:pStyle w:val="MDPI31text"/>
      </w:pPr>
      <w:r>
        <w:t xml:space="preserve">Because</w:t>
      </w:r>
      <w:r>
        <w:t xml:space="preserve"> </w:t>
      </w:r>
      <m:oMath>
        <m:sSub>
          <m:e>
            <m:r>
              <m:rPr>
                <m:sty m:val="b"/>
              </m:rPr>
              <m:t>Σ</m:t>
            </m:r>
          </m:e>
          <m:sub>
            <m:r>
              <m:t>S</m:t>
            </m:r>
          </m:sub>
        </m:sSub>
      </m:oMath>
      <w:r>
        <w:t xml:space="preserve"> </w:t>
      </w:r>
      <w:r>
        <w:t xml:space="preserve">is not necessarily proportional to the identity matrix, the mixture weights</w:t>
      </w:r>
      <w:r>
        <w:t xml:space="preserve"> </w:t>
      </w:r>
      <m:oMath>
        <m:sSub>
          <m:e>
            <m:r>
              <m:t>p</m:t>
            </m:r>
          </m:e>
          <m:sub>
            <m:r>
              <m:t>j</m:t>
            </m:r>
          </m:sub>
        </m:sSub>
        <m:d>
          <m:dPr>
            <m:begChr m:val="("/>
            <m:sepChr m:val=""/>
            <m:endChr m:val=")"/>
            <m:grow/>
          </m:dPr>
          <m:e>
            <m:sSub>
              <m:e>
                <m:r>
                  <m:t>t</m:t>
                </m:r>
              </m:e>
              <m:sub>
                <m:r>
                  <m:t>i</m:t>
                </m:r>
              </m:sub>
            </m:sSub>
          </m:e>
        </m:d>
      </m:oMath>
      <w:r>
        <w:t xml:space="preserve"> </w:t>
      </w:r>
      <w:r>
        <w:t xml:space="preserve">do not, on their own, equal the fractional contribution of band</w:t>
      </w:r>
      <w:r>
        <w:t xml:space="preserve"> </w:t>
      </w:r>
      <m:oMath>
        <m:r>
          <m:t>j</m:t>
        </m:r>
      </m:oMath>
      <w:r>
        <w:t xml:space="preserve"> </w:t>
      </w:r>
      <w:r>
        <w:t xml:space="preserve">to the structured variance. The implied variance (power) share of band</w:t>
      </w:r>
      <w:r>
        <w:t xml:space="preserve"> </w:t>
      </w:r>
      <m:oMath>
        <m:r>
          <m:t>j</m:t>
        </m:r>
      </m:oMath>
      <w:r>
        <w:t xml:space="preserve">,</w:t>
      </w:r>
      <w:r>
        <w:t xml:space="preserve"> </w:t>
      </w:r>
      <m:oMath>
        <m:sSub>
          <m:e>
            <m:r>
              <m:t>q</m:t>
            </m:r>
          </m:e>
          <m:sub>
            <m:r>
              <m:t>j</m:t>
            </m:r>
          </m:sub>
        </m:sSub>
        <m:d>
          <m:dPr>
            <m:begChr m:val="("/>
            <m:sepChr m:val=""/>
            <m:endChr m:val=")"/>
            <m:grow/>
          </m:dPr>
          <m:e>
            <m:sSub>
              <m:e>
                <m:r>
                  <m:t>t</m:t>
                </m:r>
              </m:e>
              <m:sub>
                <m:r>
                  <m:t>i</m:t>
                </m:r>
              </m:sub>
            </m:sSub>
          </m:e>
        </m:d>
      </m:oMath>
      <w:r>
        <w:t xml:space="preserve">, is instead given by</w:t>
      </w:r>
      <w:r>
        <w:t xml:space="preserve"> </w:t>
      </w:r>
      <w:hyperlink w:anchor="eq-implied-variance-share">
        <w:r>
          <w:rPr>
            <w:rStyle w:val="Hipervnculo"/>
          </w:rPr>
          <w:t xml:space="preserve">Equation 13</w:t>
        </w:r>
      </w:hyperlink>
      <w:r>
        <w:t xml:space="preserve">, and is the quantity we report wherever a direct, like-for-like comparison to STFT- or CWT-derived power proportions is required.</w:t>
      </w:r>
    </w:p>
    <w:p>
      <w:pPr>
        <w:pStyle w:val="MDPI31text"/>
      </w:pPr>
      <w:bookmarkStart w:id="48" w:name="eq-implied-variance-share"/>
      <m:oMathPara>
        <m:oMathParaPr>
          <m:jc m:val="center"/>
        </m:oMathParaPr>
        <m:oMath>
          <m:sSub>
            <m:e>
              <m:r>
                <m:t>q</m:t>
              </m:r>
            </m:e>
            <m:sub>
              <m:r>
                <m:t>j</m:t>
              </m:r>
            </m:sub>
          </m:sSub>
          <m:d>
            <m:dPr>
              <m:begChr m:val="("/>
              <m:sepChr m:val=""/>
              <m:endChr m:val=")"/>
              <m:grow/>
            </m:dPr>
            <m:e>
              <m:sSub>
                <m:e>
                  <m:r>
                    <m:t>t</m:t>
                  </m:r>
                </m:e>
                <m:sub>
                  <m:r>
                    <m:t>i</m:t>
                  </m:r>
                </m:sub>
              </m:sSub>
            </m:e>
          </m:d>
          <m:r>
            <m:rPr>
              <m:sty m:val="p"/>
            </m:rPr>
            <m:t>=</m:t>
          </m:r>
          <m:f>
            <m:fPr>
              <m:type m:val="bar"/>
            </m:fPr>
            <m:num>
              <m:sSub>
                <m:e>
                  <m:r>
                    <m:t>p</m:t>
                  </m:r>
                </m:e>
                <m:sub>
                  <m:r>
                    <m:t>j</m:t>
                  </m:r>
                </m:sub>
              </m:sSub>
              <m:sSup>
                <m:e>
                  <m:d>
                    <m:dPr>
                      <m:begChr m:val="("/>
                      <m:sepChr m:val=""/>
                      <m:endChr m:val=")"/>
                      <m:grow/>
                    </m:dPr>
                    <m:e>
                      <m:sSub>
                        <m:e>
                          <m:r>
                            <m:t>t</m:t>
                          </m:r>
                        </m:e>
                        <m:sub>
                          <m:r>
                            <m:t>i</m:t>
                          </m:r>
                        </m:sub>
                      </m:sSub>
                    </m:e>
                  </m:d>
                </m:e>
                <m:sup>
                  <m:r>
                    <m:t>2</m:t>
                  </m:r>
                </m:sup>
              </m:sSup>
              <m:r>
                <m:t> </m:t>
              </m:r>
              <m:sSub>
                <m:e>
                  <m:r>
                    <m:rPr>
                      <m:sty m:val="b"/>
                    </m:rPr>
                    <m:t>Σ</m:t>
                  </m:r>
                </m:e>
                <m:sub>
                  <m:r>
                    <m:t>S</m:t>
                  </m:r>
                </m:sub>
              </m:sSub>
              <m:d>
                <m:dPr>
                  <m:begChr m:val="["/>
                  <m:sepChr m:val=""/>
                  <m:endChr m:val="]"/>
                  <m:grow/>
                </m:dPr>
                <m:e>
                  <m:r>
                    <m:t>j</m:t>
                  </m:r>
                  <m:r>
                    <m:rPr>
                      <m:sty m:val="p"/>
                    </m:rPr>
                    <m:t>,</m:t>
                  </m:r>
                  <m:r>
                    <m:t>j</m:t>
                  </m:r>
                </m:e>
              </m:d>
            </m:num>
            <m:den>
              <m:nary>
                <m:naryPr>
                  <m:chr m:val="∑"/>
                  <m:limLoc m:val="undOvr"/>
                  <m:subHide m:val="off"/>
                  <m:supHide m:val="off"/>
                </m:naryPr>
                <m:sub>
                  <m:r>
                    <m:t>k</m:t>
                  </m:r>
                  <m:r>
                    <m:rPr>
                      <m:sty m:val="p"/>
                    </m:rPr>
                    <m:t>=</m:t>
                  </m:r>
                  <m:r>
                    <m:t>1</m:t>
                  </m:r>
                </m:sub>
                <m:sup>
                  <m:r>
                    <m:t>J</m:t>
                  </m:r>
                </m:sup>
                <m:e>
                  <m:sSub>
                    <m:e>
                      <m:r>
                        <m:t>p</m:t>
                      </m:r>
                    </m:e>
                    <m:sub>
                      <m:r>
                        <m:t>k</m:t>
                      </m:r>
                    </m:sub>
                  </m:sSub>
                </m:e>
              </m:nary>
              <m:sSup>
                <m:e>
                  <m:d>
                    <m:dPr>
                      <m:begChr m:val="("/>
                      <m:sepChr m:val=""/>
                      <m:endChr m:val=")"/>
                      <m:grow/>
                    </m:dPr>
                    <m:e>
                      <m:sSub>
                        <m:e>
                          <m:r>
                            <m:t>t</m:t>
                          </m:r>
                        </m:e>
                        <m:sub>
                          <m:r>
                            <m:t>i</m:t>
                          </m:r>
                        </m:sub>
                      </m:sSub>
                    </m:e>
                  </m:d>
                </m:e>
                <m:sup>
                  <m:r>
                    <m:t>2</m:t>
                  </m:r>
                </m:sup>
              </m:sSup>
              <m:r>
                <m:t> </m:t>
              </m:r>
              <m:sSub>
                <m:e>
                  <m:r>
                    <m:rPr>
                      <m:sty m:val="b"/>
                    </m:rPr>
                    <m:t>Σ</m:t>
                  </m:r>
                </m:e>
                <m:sub>
                  <m:r>
                    <m:t>S</m:t>
                  </m:r>
                </m:sub>
              </m:sSub>
              <m:d>
                <m:dPr>
                  <m:begChr m:val="["/>
                  <m:sepChr m:val=""/>
                  <m:endChr m:val="]"/>
                  <m:grow/>
                </m:dPr>
                <m:e>
                  <m:r>
                    <m:t>k</m:t>
                  </m:r>
                  <m:r>
                    <m:rPr>
                      <m:sty m:val="p"/>
                    </m:rPr>
                    <m:t>,</m:t>
                  </m:r>
                  <m:r>
                    <m:t>k</m:t>
                  </m:r>
                </m:e>
              </m:d>
            </m:den>
          </m:f>
          <m:r>
            <m:t>  </m:t>
          </m:r>
          <m:d>
            <m:dPr>
              <m:begChr m:val="("/>
              <m:sepChr m:val=""/>
              <m:endChr m:val=")"/>
              <m:grow/>
            </m:dPr>
            <m:e>
              <m:r>
                <m:t>13</m:t>
              </m:r>
            </m:e>
          </m:d>
        </m:oMath>
      </m:oMathPara>
      <w:bookmarkEnd w:id="48"/>
    </w:p>
    <w:p>
      <w:pPr>
        <w:pStyle w:val="MDPI31text"/>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sSub>
          <m:e>
            <m:r>
              <m:t>σ</m:t>
            </m:r>
          </m:e>
          <m:sub>
            <m:r>
              <m:rPr>
                <m:nor/>
                <m:sty m:val="p"/>
              </m:rPr>
              <m:t>total</m:t>
            </m:r>
          </m:sub>
        </m:sSub>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ipervnculo"/>
          </w:rPr>
          <w:t xml:space="preserve">Equation 14</w:t>
        </w:r>
      </w:hyperlink>
      <w:r>
        <w:t xml:space="preserve">.</w:t>
      </w:r>
    </w:p>
    <w:p>
      <w:pPr>
        <w:pStyle w:val="MDPI31text"/>
      </w:pPr>
      <w:bookmarkStart w:id="49"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sSub>
                <m:e>
                  <m:r>
                    <m:t>σ</m:t>
                  </m:r>
                </m:e>
                <m:sub>
                  <m:r>
                    <m:rPr>
                      <m:nor/>
                      <m:sty m:val="p"/>
                    </m:rPr>
                    <m:t>total</m:t>
                  </m:r>
                </m:sub>
              </m:sSub>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14</m:t>
              </m:r>
            </m:e>
          </m:d>
        </m:oMath>
      </m:oMathPara>
      <w:bookmarkEnd w:id="49"/>
    </w:p>
    <w:p>
      <w:pPr>
        <w:pStyle w:val="MDPI31text"/>
      </w:pPr>
      <w:r>
        <w:t xml:space="preserve">This inversion is essential. It dynamically adjusts the amplitude of the synthesized spectral signal to ensure its contribution to the total variance is exactly as prescribed by the model’s high-level parameters (</w:t>
      </w:r>
      <m:oMath>
        <m:sSub>
          <m:e>
            <m:r>
              <m:t>σ</m:t>
            </m:r>
          </m:e>
          <m:sub>
            <m:r>
              <m:rPr>
                <m:nor/>
                <m:sty m:val="p"/>
              </m:rPr>
              <m:t>total</m:t>
            </m:r>
          </m:sub>
        </m:sSub>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p>
      <w:pPr>
        <w:pStyle w:val="MDPI22heading2"/>
      </w:pPr>
      <w:r>
        <w:t xml:space="preserve">4.2. Model Parameterization and Priors</w:t>
      </w:r>
    </w:p>
    <w:p>
      <w:pPr>
        <w:pStyle w:val="MDPI31text"/>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p>
      <w:pPr>
        <w:pStyle w:val="MDPI23heading3"/>
      </w:pPr>
      <w:r>
        <w:t xml:space="preserve">4.2.1. Timing, Rate, and Magnitude Parameters</w:t>
      </w:r>
    </w:p>
    <w:p>
      <w:pPr>
        <w:pStyle w:val="MDPI31text"/>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MDPI31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MDPI31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p>
      <w:pPr>
        <w:pStyle w:val="MDPI31text"/>
      </w:pPr>
      <w:r>
        <w:t xml:space="preserve">The priors placed on the unconstrained timing and rate parameters (</w:t>
      </w:r>
      <m:oMath>
        <m:sSub>
          <m:e>
            <m:r>
              <m:t>τ</m:t>
            </m:r>
          </m:e>
          <m:sub>
            <m:r>
              <m:rPr>
                <m:nor/>
                <m:sty m:val="p"/>
              </m:rPr>
              <m:t>logit</m:t>
            </m:r>
          </m:sub>
        </m:sSub>
      </m:oMath>
      <w:r>
        <w:t xml:space="preserve">,</w:t>
      </w:r>
      <w:r>
        <w:t xml:space="preserve"> </w:t>
      </w:r>
      <m:oMath>
        <m:sSub>
          <m:e>
            <m:r>
              <m:t>δ</m:t>
            </m:r>
          </m:e>
          <m:sub>
            <m:r>
              <m:rPr>
                <m:nor/>
                <m:sty m:val="p"/>
              </m:rPr>
              <m:t>logit</m:t>
            </m:r>
          </m:sub>
        </m:sSub>
      </m:oMath>
      <w:r>
        <w:t xml:space="preserve">,</w:t>
      </w:r>
      <w:r>
        <w:t xml:space="preserve"> </w:t>
      </w:r>
      <m:oMath>
        <m:sSub>
          <m:e>
            <m:r>
              <m:t>λ</m:t>
            </m:r>
          </m:e>
          <m:sub>
            <m:r>
              <m:rPr>
                <m:nor/>
                <m:sty m:val="p"/>
              </m:rPr>
              <m:t>log</m:t>
            </m:r>
          </m:sub>
        </m:sSub>
      </m:oMath>
      <w:r>
        <w:t xml:space="preserve">,</w:t>
      </w:r>
      <w:r>
        <w:t xml:space="preserve"> </w:t>
      </w:r>
      <m:oMath>
        <m:sSub>
          <m:e>
            <m:r>
              <m:t>ϕ</m:t>
            </m:r>
          </m:e>
          <m:sub>
            <m:r>
              <m:rPr>
                <m:nor/>
                <m:sty m:val="p"/>
              </m:rPr>
              <m:t>log</m:t>
            </m:r>
          </m:sub>
        </m:sSub>
      </m:oMath>
      <w:r>
        <w:t xml:space="preserve">) are deliberately informative, with a standard deviation of 0.2 on their respective logit/log scales, rather than weakly informative or flat. This is an event-informed design choice: for a single-event, stimulus-response protocol of the kind this model targets, the approximate onset and recovery timing can typically be anticipated from the experimental protocol itself or from pilot/literature data</w:t>
      </w:r>
      <w:r>
        <w:t xml:space="preserve"> </w:t>
      </w:r>
      <w:r>
        <w:rPr>
          <w:i/>
          <w:iCs/>
        </w:rPr>
        <w:t xml:space="preserve">[values and citation needed: empirical basis for the informative prior means on</w:t>
      </w:r>
      <w:r>
        <w:rPr>
          <w:i/>
          <w:iCs/>
        </w:rPr>
        <w:t xml:space="preserve"> </w:t>
      </w:r>
      <m:oMath>
        <m:r>
          <m:t>τ</m:t>
        </m:r>
      </m:oMath>
      <w:r>
        <w:rPr>
          <w:i/>
          <w:iCs/>
        </w:rPr>
        <w:t xml:space="preserve">,</w:t>
      </w:r>
      <w:r>
        <w:rPr>
          <w:i/>
          <w:iCs/>
        </w:rPr>
        <w:t xml:space="preserve"> </w:t>
      </w:r>
      <m:oMath>
        <m:r>
          <m:t>δ</m:t>
        </m:r>
      </m:oMath>
      <w:r>
        <w:rPr>
          <w:i/>
          <w:iCs/>
        </w:rPr>
        <w:t xml:space="preserve">,</w:t>
      </w:r>
      <w:r>
        <w:rPr>
          <w:i/>
          <w:iCs/>
        </w:rPr>
        <w:t xml:space="preserve"> </w:t>
      </w:r>
      <m:oMath>
        <m:r>
          <m:t>λ</m:t>
        </m:r>
      </m:oMath>
      <w:r>
        <w:rPr>
          <w:i/>
          <w:iCs/>
        </w:rPr>
        <w:t xml:space="preserve">,</w:t>
      </w:r>
      <w:r>
        <w:rPr>
          <w:i/>
          <w:iCs/>
        </w:rPr>
        <w:t xml:space="preserve"> </w:t>
      </w:r>
      <m:oMath>
        <m:r>
          <m:t>ϕ</m:t>
        </m:r>
      </m:oMath>
      <w:r>
        <w:rPr>
          <w:i/>
          <w:iCs/>
        </w:rPr>
        <w:t xml:space="preserve">]</w:t>
      </w:r>
      <w:r>
        <w:t xml:space="preserve">, and using this information meaningfully improves practical identifiability, since a single, comparatively short recording only weakly identifies the timing and rate parameters under a vague prior. All priors, including those induced on the constrained and data-derived-scaled parameters by the transformations above, are shown on their natural, interpretable scales in the supplementary material, together with a quantitative sensitivity analysis (posterior mean/median shift in prior-standard-deviation units, and a distributional-overlap statistic) comparing the informative priors used here against wider alternatives. The finding that markedly wider priors induce multimodal posteriors is interpreted as evidence of weak practical identifiability of the timing and rate parameters under vague priors — and thus as motivation for the informative priors adopted — rather than as evidence that the adopted priors are themselves unbiased.</w:t>
      </w:r>
    </w:p>
    <w:p>
      <w:pPr>
        <w:pStyle w:val="MDPI23heading3"/>
      </w:pPr>
      <w:r>
        <w:t xml:space="preserve">4.2.2. Spectral and Oscillator Parameters</w:t>
      </w:r>
    </w:p>
    <w:p>
      <w:pPr>
        <w:pStyle w:val="MDPI31text"/>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MDPI31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MDPI31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p>
      <w:pPr>
        <w:pStyle w:val="MDPI22heading2"/>
      </w:pPr>
      <w:r>
        <w:t xml:space="preserve">4.3. Simulation Studies</w:t>
      </w:r>
    </w:p>
    <w:p>
      <w:pPr>
        <w:pStyle w:val="MDPI31text"/>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sSub>
          <m:e>
            <m:r>
              <m:t>σ</m:t>
            </m:r>
          </m:e>
          <m:sub>
            <m:r>
              <m:rPr>
                <m:nor/>
                <m:sty m:val="p"/>
              </m:rPr>
              <m:t>total</m:t>
            </m:r>
          </m:sub>
        </m:sSub>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MDPI31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p>
      <w:pPr>
        <w:pStyle w:val="MDPI23heading3"/>
      </w:pPr>
      <w:r>
        <w:t xml:space="preserve">4.3.1. Time-Domain Trajectory Reconstruction</w:t>
      </w:r>
    </w:p>
    <w:p>
      <w:pPr>
        <w:pStyle w:val="MDPI31text"/>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sSub>
          <m:e>
            <m:r>
              <m:t>σ</m:t>
            </m:r>
          </m:e>
          <m:sub>
            <m:r>
              <m:rPr>
                <m:nor/>
                <m:sty m:val="p"/>
              </m:rPr>
              <m:t>total</m:t>
            </m:r>
          </m:sub>
        </m:sSub>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The primary sliding-window and STFT comparators used a 60-second window, chosen to allow direct visual comparison in Figure 4 and to match common practice in the applied HRV literature; to assess the sensitivity of these comparators to this choice, we additionally repeated the analysis using 30-second and 120-second windows.</w:t>
      </w:r>
      <w:r>
        <w:t xml:space="preserve"> </w:t>
      </w:r>
      <w:r>
        <w:rPr>
          <w:i/>
          <w:iCs/>
        </w:rPr>
        <w:t xml:space="preserve">[Results placeholder: window-length sensitivity results, pending completion of the corresponding analysis.]</w:t>
      </w:r>
      <w:r>
        <w:t xml:space="preserve"> </w:t>
      </w:r>
      <w:r>
        <w:t xml:space="preserve">Wall-clock computational cost was also recorded for the generative model and each comparator on the same hardware, to contextualize the trade-off between reconstruction fidelity and computational expense.</w:t>
      </w:r>
      <w:r>
        <w:t xml:space="preserve"> </w:t>
      </w:r>
      <w:r>
        <w:rPr>
          <w:i/>
          <w:iCs/>
        </w:rPr>
        <w:t xml:space="preserve">[Results placeholder: comparator runtime figures, pending completion of the corresponding benchmarking.]</w:t>
      </w:r>
      <w:r>
        <w:t xml:space="preserve"> </w:t>
      </w:r>
      <w:r>
        <w:t xml:space="preserve">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p>
      <w:pPr>
        <w:pStyle w:val="MDPI23heading3"/>
      </w:pPr>
      <w:r>
        <w:t xml:space="preserve">4.3.2. Spectral Dynamics Reconstruction</w:t>
      </w:r>
    </w:p>
    <w:p>
      <w:pPr>
        <w:pStyle w:val="MDPI31text"/>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and, additionally, a Continuous Wavelet Transform (CWT). For a direct comparison, the spectrogram generated by the STFT was normalized at each time step to yield proportional power within the VLF, LF, and HF bands. The CWT was included as a further comparator, given that it does not impose a single, fixed time-frequency resolution trade-off across all frequencies, unlike sliding-window and STFT-based approaches</w:t>
      </w:r>
      <w:r>
        <w:t xml:space="preserve"> </w:t>
      </w:r>
      <w:r>
        <w:t xml:space="preserve">[15]</w:t>
      </w:r>
      <w:r>
        <w:t xml:space="preserve">; band-wise power proportions were extracted from the resulting scalogram using the same per-time-step normalization procedure applied to the STFT output. The performance of all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p>
      <w:pPr>
        <w:pStyle w:val="MDPI22heading2"/>
      </w:pPr>
      <w:r>
        <w:t xml:space="preserve">4.4. Empirical Case Study</w:t>
      </w:r>
    </w:p>
    <w:p>
      <w:pPr>
        <w:pStyle w:val="MDPI31text"/>
      </w:pPr>
      <w:r>
        <w:t xml:space="preserve">For a practical demonstration of the framework, we analyzed heart rate variability data (RRi time series) collected from one healthy individual completing a two-minute submaximal step test. This individual-level (N-of-1) analysis was designed explicitly to show how the model simplifies a complex, information-rich, and noisy time series into a few interpretable, low-dimensional parameters. Ethical approval regarding experimental protocols were obtained from the Scientific Ethics Committee of the University of Magallanes, CEC-UMAG (Nº053/SH/2023) and all methods were carried out in accordance with relevant guidelines and regulations. The subject received detailed information regarding the study objectives, procedures, and potential implications. Informed consent was obtained to ensure ethical compliance and participant autonomy.</w:t>
      </w:r>
    </w:p>
    <w:p>
      <w:pPr>
        <w:pStyle w:val="MDPI23heading3"/>
      </w:pPr>
      <w:r>
        <w:t xml:space="preserve">4.4.1. Empirical Data Acquisition and Preprocessing</w:t>
      </w:r>
    </w:p>
    <w:p>
      <w:pPr>
        <w:pStyle w:val="MDPI31text"/>
      </w:pPr>
      <w:r>
        <w:t xml:space="preserve">The participant was</w:t>
      </w:r>
      <w:r>
        <w:t xml:space="preserve"> </w:t>
      </w:r>
      <w:r>
        <w:rPr>
          <w:i/>
          <w:iCs/>
        </w:rPr>
        <w:t xml:space="preserve">[age]</w:t>
      </w:r>
      <w:r>
        <w:t xml:space="preserve"> </w:t>
      </w:r>
      <w:r>
        <w:t xml:space="preserve">years old,</w:t>
      </w:r>
      <w:r>
        <w:t xml:space="preserve"> </w:t>
      </w:r>
      <w:r>
        <w:rPr>
          <w:i/>
          <w:iCs/>
        </w:rPr>
        <w:t xml:space="preserve">[sex]</w:t>
      </w:r>
      <w:r>
        <w:t xml:space="preserve">, with</w:t>
      </w:r>
      <w:r>
        <w:t xml:space="preserve"> </w:t>
      </w:r>
      <w:r>
        <w:rPr>
          <w:i/>
          <w:iCs/>
        </w:rPr>
        <w:t xml:space="preserve">[relevant health characteristics, e.g.,</w:t>
      </w:r>
      <w:r>
        <w:rPr>
          <w:i/>
          <w:iCs/>
        </w:rPr>
        <w:t xml:space="preserve"> </w:t>
      </w:r>
      <w:r>
        <w:rPr>
          <w:i/>
          <w:iCs/>
        </w:rPr>
        <w:t xml:space="preserve">“no diagnosed cardiovascular, metabolic, or autonomic disease”</w:t>
      </w:r>
      <w:r>
        <w:rPr>
          <w:i/>
          <w:iCs/>
        </w:rPr>
        <w:t xml:space="preserve">]</w:t>
      </w:r>
      <w:r>
        <w:t xml:space="preserve"> </w:t>
      </w:r>
      <w:r>
        <w:t xml:space="preserve">and</w:t>
      </w:r>
      <w:r>
        <w:t xml:space="preserve"> </w:t>
      </w:r>
      <w:r>
        <w:rPr>
          <w:i/>
          <w:iCs/>
        </w:rPr>
        <w:t xml:space="preserve">[medication use]</w:t>
      </w:r>
      <w:r>
        <w:t xml:space="preserve">;</w:t>
      </w:r>
      <w:r>
        <w:t xml:space="preserve"> </w:t>
      </w:r>
      <w:r>
        <w:rPr>
          <w:i/>
          <w:iCs/>
        </w:rPr>
        <w:t xml:space="preserve">[exclusion criteria applied, if any]</w:t>
      </w:r>
      <w:r>
        <w:t xml:space="preserve">. RRi data were recorded using</w:t>
      </w:r>
      <w:r>
        <w:t xml:space="preserve"> </w:t>
      </w:r>
      <w:r>
        <w:rPr>
          <w:i/>
          <w:iCs/>
        </w:rPr>
        <w:t xml:space="preserve">[ECG/sensor device model and manufacturer]</w:t>
      </w:r>
      <w:r>
        <w:t xml:space="preserve"> </w:t>
      </w:r>
      <w:r>
        <w:t xml:space="preserve">at a sampling frequency of</w:t>
      </w:r>
      <w:r>
        <w:t xml:space="preserve"> </w:t>
      </w:r>
      <w:r>
        <w:rPr>
          <w:i/>
          <w:iCs/>
        </w:rPr>
        <w:t xml:space="preserve">[value] Hz</w:t>
      </w:r>
      <w:r>
        <w:t xml:space="preserve">, with a</w:t>
      </w:r>
      <w:r>
        <w:t xml:space="preserve"> </w:t>
      </w:r>
      <w:r>
        <w:rPr>
          <w:i/>
          <w:iCs/>
        </w:rPr>
        <w:t xml:space="preserve">[electrode configuration]</w:t>
      </w:r>
      <w:r>
        <w:t xml:space="preserve">; R-peaks were detected using</w:t>
      </w:r>
      <w:r>
        <w:t xml:space="preserve"> </w:t>
      </w:r>
      <w:r>
        <w:rPr>
          <w:i/>
          <w:iCs/>
        </w:rPr>
        <w:t xml:space="preserve">[R-peak detection algorithm]</w:t>
      </w:r>
      <w:r>
        <w:t xml:space="preserve">. The recording comprised a</w:t>
      </w:r>
      <w:r>
        <w:t xml:space="preserve"> </w:t>
      </w:r>
      <w:r>
        <w:rPr>
          <w:i/>
          <w:iCs/>
        </w:rPr>
        <w:t xml:space="preserve">[duration]</w:t>
      </w:r>
      <w:r>
        <w:t xml:space="preserve"> </w:t>
      </w:r>
      <w:r>
        <w:t xml:space="preserve">baseline (rest) period, the</w:t>
      </w:r>
      <w:r>
        <w:t xml:space="preserve"> </w:t>
      </w:r>
      <w:r>
        <w:rPr>
          <w:i/>
          <w:iCs/>
        </w:rPr>
        <w:t xml:space="preserve">[duration]</w:t>
      </w:r>
      <w:r>
        <w:t xml:space="preserve"> </w:t>
      </w:r>
      <w:r>
        <w:t xml:space="preserve">step-test exercise period, and a</w:t>
      </w:r>
      <w:r>
        <w:t xml:space="preserve"> </w:t>
      </w:r>
      <w:r>
        <w:rPr>
          <w:i/>
          <w:iCs/>
        </w:rPr>
        <w:t xml:space="preserve">[duration]</w:t>
      </w:r>
      <w:r>
        <w:t xml:space="preserve"> </w:t>
      </w:r>
      <w:r>
        <w:t xml:space="preserve">recovery period. The step-test protocol used a step height of</w:t>
      </w:r>
      <w:r>
        <w:t xml:space="preserve"> </w:t>
      </w:r>
      <w:r>
        <w:rPr>
          <w:i/>
          <w:iCs/>
        </w:rPr>
        <w:t xml:space="preserve">[value]</w:t>
      </w:r>
      <w:r>
        <w:t xml:space="preserve">, a cadence/workload of</w:t>
      </w:r>
      <w:r>
        <w:t xml:space="preserve"> </w:t>
      </w:r>
      <w:r>
        <w:rPr>
          <w:i/>
          <w:iCs/>
        </w:rPr>
        <w:t xml:space="preserve">[value]</w:t>
      </w:r>
      <w:r>
        <w:t xml:space="preserve">, with exercise intensity defined as</w:t>
      </w:r>
      <w:r>
        <w:t xml:space="preserve"> </w:t>
      </w:r>
      <w:r>
        <w:rPr>
          <w:i/>
          <w:iCs/>
        </w:rPr>
        <w:t xml:space="preserve">[definition]</w:t>
      </w:r>
      <w:r>
        <w:t xml:space="preserve">; the participant maintained</w:t>
      </w:r>
      <w:r>
        <w:t xml:space="preserve"> </w:t>
      </w:r>
      <w:r>
        <w:rPr>
          <w:i/>
          <w:iCs/>
        </w:rPr>
        <w:t xml:space="preserve">[posture]</w:t>
      </w:r>
      <w:r>
        <w:t xml:space="preserve"> </w:t>
      </w:r>
      <w:r>
        <w:t xml:space="preserve">throughout, and the onset and offset of the exercise stimulus were marked via</w:t>
      </w:r>
      <w:r>
        <w:t xml:space="preserve"> </w:t>
      </w:r>
      <w:r>
        <w:rPr>
          <w:i/>
          <w:iCs/>
        </w:rPr>
        <w:t xml:space="preserve">[timing-marker method]</w:t>
      </w:r>
      <w:r>
        <w:t xml:space="preserve">. Respiratory activity was</w:t>
      </w:r>
      <w:r>
        <w:t xml:space="preserve"> </w:t>
      </w:r>
      <w:r>
        <w:rPr>
          <w:i/>
          <w:iCs/>
        </w:rPr>
        <w:t xml:space="preserve">[not monitored during this recording / monitored via specify method]</w:t>
      </w:r>
      <w:r>
        <w:t xml:space="preserve">; in the absence of concurrent respiratory monitoring, the high-frequency spectral caveats discussed in Section 3.1 apply directly to the empirical results reported here.</w:t>
      </w:r>
      <w:r>
        <w:t xml:space="preserve"> </w:t>
      </w:r>
      <w:r>
        <w:rPr>
          <w:i/>
          <w:iCs/>
        </w:rPr>
        <w:t xml:space="preserve">[Caffeine, medication, time-of-day, and environmental controls applied, or an explicit statement that none were applied]</w:t>
      </w:r>
      <w:r>
        <w:t xml:space="preserve">.</w:t>
      </w:r>
      <w:r>
        <w:t xml:space="preserve"> </w:t>
      </w:r>
      <w:r>
        <w:rPr>
          <w:i/>
          <w:iCs/>
        </w:rPr>
        <w:t xml:space="preserve">[Ectopic-beat and artifact detection/correction procedure applied, or an explicit statement that none was applied]</w:t>
      </w:r>
      <w:r>
        <w:t xml:space="preserve">.</w:t>
      </w:r>
    </w:p>
    <w:p>
      <w:pPr>
        <w:pStyle w:val="MDPI31text"/>
      </w:pPr>
      <w:r>
        <w:t xml:space="preserve">The RRi series analyzed by the model corresponds to</w:t>
      </w:r>
      <w:r>
        <w:t xml:space="preserve"> </w:t>
      </w:r>
      <w:r>
        <w:rPr>
          <w:i/>
          <w:iCs/>
        </w:rPr>
        <w:t xml:space="preserve">[the genuine, irregularly timed sequence of beat-to-beat intervals / a resampled and interpolated series at a fixed rate of specify Hz, via specify interpolation method]</w:t>
      </w:r>
      <w:r>
        <w:t xml:space="preserve">.</w:t>
      </w:r>
      <w:r>
        <w:t xml:space="preserve"> </w:t>
      </w:r>
      <w:hyperlink w:anchor="eq-full-likelihood">
        <w:r>
          <w:rPr>
            <w:rStyle w:val="Hipervnculo"/>
            <w:i/>
            <w:iCs/>
          </w:rPr>
          <w:t xml:space="preserve">If resampled: because interpolation introduces smooth, autocorrelated structure into the resampled series, the residual term in 1</w:t>
        </w:r>
      </w:hyperlink>
      <w:r>
        <w:t xml:space="preserve"> </w:t>
      </w:r>
      <w:r>
        <w:t xml:space="preserve">The event-informed priors described in Section 4.2.1 used prior means of $</w:t>
      </w:r>
      <w:r>
        <w:rPr>
          <w:i/>
          <w:iCs/>
        </w:rPr>
        <w:t xml:space="preserve">= $</w:t>
      </w:r>
      <w:r>
        <w:rPr>
          <w:i/>
          <w:iCs/>
        </w:rPr>
        <w:t xml:space="preserve"> </w:t>
      </w:r>
      <w:r>
        <w:rPr>
          <w:i/>
          <w:i/>
          <w:iCs/>
          <w:iCs/>
        </w:rPr>
        <w:t xml:space="preserve">[value]</w:t>
      </w:r>
      <w:r>
        <w:rPr>
          <w:i/>
          <w:iCs/>
        </w:rPr>
        <w:t xml:space="preserve">, $</w:t>
      </w:r>
      <w:r>
        <w:t xml:space="preserve">= $</w:t>
      </w:r>
      <w:r>
        <w:t xml:space="preserve"> </w:t>
      </w:r>
      <w:r>
        <w:rPr>
          <w:i/>
          <w:iCs/>
        </w:rPr>
        <w:t xml:space="preserve">[value]</w:t>
      </w:r>
      <w:r>
        <w:t xml:space="preserve">, $</w:t>
      </w:r>
      <w:r>
        <w:rPr>
          <w:i/>
          <w:iCs/>
        </w:rPr>
        <w:t xml:space="preserve">= $</w:t>
      </w:r>
      <w:r>
        <w:rPr>
          <w:i/>
          <w:iCs/>
        </w:rPr>
        <w:t xml:space="preserve"> </w:t>
      </w:r>
      <w:r>
        <w:rPr>
          <w:i/>
          <w:i/>
          <w:iCs/>
          <w:iCs/>
        </w:rPr>
        <w:t xml:space="preserve">[value]</w:t>
      </w:r>
      <w:r>
        <w:rPr>
          <w:i/>
          <w:iCs/>
        </w:rPr>
        <w:t xml:space="preserve">, and $</w:t>
      </w:r>
      <w:r>
        <w:t xml:space="preserve">= $</w:t>
      </w:r>
      <w:r>
        <w:t xml:space="preserve"> </w:t>
      </w:r>
      <w:r>
        <w:rPr>
          <w:i/>
          <w:iCs/>
        </w:rPr>
        <w:t xml:space="preserve">[value]</w:t>
      </w:r>
      <w:r>
        <w:t xml:space="preserve">, derived from</w:t>
      </w:r>
      <w:r>
        <w:t xml:space="preserve"> </w:t>
      </w:r>
      <w:r>
        <w:rPr>
          <w:i/>
          <w:iCs/>
        </w:rPr>
        <w:t xml:space="preserve">[pilot data / prior literature / the known timing of the experimental protocol]</w:t>
      </w:r>
      <w:r>
        <w:t xml:space="preserve">.</w:t>
      </w:r>
    </w:p>
    <w:p>
      <w:pPr>
        <w:pStyle w:val="MDPI22heading2"/>
      </w:pPr>
      <w:r>
        <w:t xml:space="preserve">4.5. Computational Implementation and Reproducibility</w:t>
      </w:r>
    </w:p>
    <w:p>
      <w:pPr>
        <w:pStyle w:val="MDPI31text"/>
      </w:pPr>
      <w:r>
        <w:t xml:space="preserve">All models were implemented in Stan and fit via Hamiltonian Monte Carlo. Sampling seeds, chain initialization strategy,</w:t>
      </w:r>
      <w:r>
        <w:t xml:space="preserve"> </w:t>
      </w:r>
      <w:r>
        <w:rPr>
          <w:rStyle w:val="VerbatimChar"/>
        </w:rPr>
        <w:t xml:space="preserve">adapt_delta</w:t>
      </w:r>
      <w:r>
        <w:t xml:space="preserve">, and</w:t>
      </w:r>
      <w:r>
        <w:t xml:space="preserve"> </w:t>
      </w:r>
      <w:r>
        <w:rPr>
          <w:rStyle w:val="VerbatimChar"/>
        </w:rPr>
        <w:t xml:space="preserve">max_treedepth</w:t>
      </w:r>
      <w:r>
        <w:t xml:space="preserve"> </w:t>
      </w:r>
      <w:r>
        <w:t xml:space="preserve">settings, together with the hardware specification and wall-clock runtime for each model fit, are reported in the supplementary material (Section S1.3). Supplementary Table S1 additionally reports R-hat, effective sample size, and Monte Carlo standard error not only for the high-level parameters but also for the per-band Gaussian-process length-scales (</w:t>
      </w:r>
      <m:oMath>
        <m:sSub>
          <m:e>
            <m:r>
              <m:t>ρ</m:t>
            </m:r>
          </m:e>
          <m:sub>
            <m:r>
              <m:t>g</m:t>
            </m:r>
            <m:r>
              <m:t>p</m:t>
            </m:r>
            <m:r>
              <m:rPr>
                <m:sty m:val="p"/>
              </m:rPr>
              <m:t>,</m:t>
            </m:r>
            <m:r>
              <m:t>j</m:t>
            </m:r>
          </m:sub>
        </m:sSub>
      </m:oMath>
      <w:r>
        <w:t xml:space="preserve">) and a summary (minimum, median, and maximum) across the full set of individual non-centered oscillator and GP deviates (</w:t>
      </w:r>
      <m:oMath>
        <m:sSub>
          <m:e>
            <m:r>
              <m:t>z</m:t>
            </m:r>
          </m:e>
          <m:sub>
            <m:r>
              <m:t>g</m:t>
            </m:r>
            <m:r>
              <m:t>p</m:t>
            </m:r>
          </m:sub>
        </m:sSub>
      </m:oMath>
      <w:r>
        <w:t xml:space="preserve">,</w:t>
      </w:r>
      <w:r>
        <w:t xml:space="preserve"> </w:t>
      </w:r>
      <m:oMath>
        <m:sSub>
          <m:e>
            <m:r>
              <m:t>z</m:t>
            </m:r>
          </m:e>
          <m:sub>
            <m:r>
              <m:rPr>
                <m:sty m:val="p"/>
              </m:rPr>
              <m:t>sin</m:t>
            </m:r>
          </m:sub>
        </m:sSub>
      </m:oMath>
      <w:r>
        <w:t xml:space="preserve">,</w:t>
      </w:r>
      <w:r>
        <w:t xml:space="preserve"> </w:t>
      </w:r>
      <m:oMath>
        <m:sSub>
          <m:e>
            <m:r>
              <m:t>z</m:t>
            </m:r>
          </m:e>
          <m:sub>
            <m:r>
              <m:rPr>
                <m:sty m:val="p"/>
              </m:rPr>
              <m:t>cos</m:t>
            </m:r>
          </m:sub>
        </m:sSub>
      </m:oMath>
      <w:r>
        <w:t xml:space="preserve">). A versioned, archived repository containing the deidentified empirical RR data, the complete Stan and R preprocessing and analysis code, the comparator (sliding-window, STFT, and CWT) implementations, and the simulation scripts and fixed seeds used to generate every scenario and figure in this manuscript and its supplement is available at</w:t>
      </w:r>
      <w:r>
        <w:t xml:space="preserve"> </w:t>
      </w:r>
      <w:r>
        <w:rPr>
          <w:i/>
          <w:iCs/>
        </w:rPr>
        <w:t xml:space="preserve">[repository URL / DOI pending archival]</w:t>
      </w:r>
      <w:r>
        <w:t xml:space="preserve">.</w:t>
      </w:r>
    </w:p>
    <w:p>
      <w:pPr>
        <w:pStyle w:val="MDPI62backmatter"/>
      </w:pPr>
      <w:r>
        <w:rPr>
          <w:b/>
          <w:bCs/>
        </w:rPr>
        <w:t xml:space="preserve">Author Contributions</w:t>
      </w:r>
      <w:r>
        <w:t xml:space="preserve">: Conceptualization, MC-A, CN-E; Data curation, MC-A, NB; Investigation, MC-A, DM-C; Methodology, MC-A, DM-O; Supervision, DM-O, CN-E; Formal analysis, MC-A; Visualization, MC-A; Writing–original draft, MC-A, RM, CN-E; Writing–review &amp; editing, MC-A, RMM, DM-C, AU-O, MN, CN-E. All authors have read and agreed to the published version of the manuscript.</w:t>
      </w:r>
    </w:p>
    <w:p>
      <w:pPr>
        <w:pStyle w:val="MDPI62backmatter"/>
      </w:pPr>
      <w:r>
        <w:rPr>
          <w:b/>
          <w:bCs/>
        </w:rPr>
        <w:t xml:space="preserve">Funding</w:t>
      </w:r>
      <w:r>
        <w:t xml:space="preserve">: This work was funded by ANID Proyecto Fondecyt Regular Nº1250474 and by the Innovation Fund for Competitiveness of the Regional Government of Magallanes and Chilean Antarctica (BIP Code 40042452-0).</w:t>
      </w:r>
    </w:p>
    <w:p>
      <w:pPr>
        <w:pStyle w:val="MDPI62backmatter"/>
      </w:pPr>
      <w:r>
        <w:rPr>
          <w:b/>
          <w:bCs/>
        </w:rPr>
        <w:t xml:space="preserve">Institutional Review Board Statement</w:t>
      </w:r>
      <w:r>
        <w:t xml:space="preserve">: Ethical approval was obtained from the Scientific Ethics Committee of the University of Magallanes, CEC-UMAG (Nº053/SH/2023).</w:t>
      </w:r>
    </w:p>
    <w:p>
      <w:pPr>
        <w:pStyle w:val="MDPI62backmatter"/>
      </w:pPr>
      <w:r>
        <w:rPr>
          <w:b/>
          <w:bCs/>
        </w:rPr>
        <w:t xml:space="preserve">Data Availability Statement</w:t>
      </w:r>
      <w:r>
        <w:t xml:space="preserve">: The deidentified empirical RR data, the complete Stan and R preprocessing and analysis code, the comparator implementations, and the simulation scripts and fixed seeds used to generate every scenario and figure in this manuscript and its supplement are available in a versioned, archived repository at</w:t>
      </w:r>
      <w:r>
        <w:t xml:space="preserve"> </w:t>
      </w:r>
      <w:r>
        <w:rPr>
          <w:i/>
          <w:iCs/>
        </w:rPr>
        <w:t xml:space="preserve">[repository URL / DOI pending archival]</w:t>
      </w:r>
      <w:r>
        <w:t xml:space="preserve">.</w:t>
      </w:r>
    </w:p>
    <w:p>
      <w:pPr>
        <w:pStyle w:val="MDPI62backmatter"/>
      </w:pPr>
      <w:r>
        <w:rPr>
          <w:b/>
          <w:bCs/>
        </w:rPr>
        <w:t xml:space="preserve">Conflicts of Interest</w:t>
      </w:r>
      <w:r>
        <w:t xml:space="preserve">: The authors declare that the research was conducted without any commercial or financial relationships construed as as a potential conflict of interest.</w:t>
      </w:r>
    </w:p>
    <w:bookmarkStart w:id="100" w:name="references"/>
    <w:p>
      <w:pPr>
        <w:pStyle w:val="Ttulo2"/>
      </w:pPr>
      <w:r>
        <w:t xml:space="preserve">References</w:t>
      </w:r>
    </w:p>
    <w:bookmarkStart w:id="99" w:name="refs"/>
    <w:bookmarkStart w:id="50" w:name="ref-huber2025brain"/>
    <w:p>
      <w:pPr>
        <w:pStyle w:val="MDPI81references"/>
      </w:pPr>
      <w:r>
        <w:t xml:space="preserve">1.</w:t>
      </w:r>
      <w:r>
        <w:t xml:space="preserve"> </w:t>
      </w:r>
      <w:r>
        <w:t xml:space="preserve">	</w:t>
      </w:r>
      <w:r>
        <w:t xml:space="preserve">Huber, A.; Koenig, J.; Bruns, B.; Bendszus, M.; Friederich, H.-C.; Simon, J.J. Brain Activation and Heart Rate Variability as Markers of Autonomic Function Under Stress.</w:t>
      </w:r>
      <w:r>
        <w:t xml:space="preserve"> </w:t>
      </w:r>
      <w:r>
        <w:rPr>
          <w:i/>
          <w:iCs/>
        </w:rPr>
        <w:t xml:space="preserve">Scientific Reports</w:t>
      </w:r>
      <w:r>
        <w:t xml:space="preserve"> </w:t>
      </w:r>
      <w:r>
        <w:rPr>
          <w:b/>
          <w:bCs/>
        </w:rPr>
        <w:t xml:space="preserve">2025</w:t>
      </w:r>
      <w:r>
        <w:t xml:space="preserve">,</w:t>
      </w:r>
      <w:r>
        <w:t xml:space="preserve"> </w:t>
      </w:r>
      <w:r>
        <w:rPr>
          <w:i/>
          <w:iCs/>
        </w:rPr>
        <w:t xml:space="preserve">15</w:t>
      </w:r>
      <w:r>
        <w:t xml:space="preserve">, 28114.</w:t>
      </w:r>
    </w:p>
    <w:bookmarkEnd w:id="50"/>
    <w:bookmarkStart w:id="51" w:name="ref-shaffer2017overview"/>
    <w:p>
      <w:pPr>
        <w:pStyle w:val="MDPI81references"/>
      </w:pPr>
      <w:r>
        <w:t xml:space="preserve">2.</w:t>
      </w:r>
      <w:r>
        <w:t xml:space="preserve"> </w:t>
      </w:r>
      <w:r>
        <w:t xml:space="preserve">	</w:t>
      </w:r>
      <w:r>
        <w:t xml:space="preserve">Shaffer, F.; Ginsberg, J.P. An Overview of Heart Rate Variability Metrics and Norms.</w:t>
      </w:r>
      <w:r>
        <w:t xml:space="preserve"> </w:t>
      </w:r>
      <w:r>
        <w:rPr>
          <w:i/>
          <w:iCs/>
        </w:rPr>
        <w:t xml:space="preserve">Frontiers in public health</w:t>
      </w:r>
      <w:r>
        <w:t xml:space="preserve"> </w:t>
      </w:r>
      <w:r>
        <w:rPr>
          <w:b/>
          <w:bCs/>
        </w:rPr>
        <w:t xml:space="preserve">2017</w:t>
      </w:r>
      <w:r>
        <w:t xml:space="preserve">,</w:t>
      </w:r>
      <w:r>
        <w:t xml:space="preserve"> </w:t>
      </w:r>
      <w:r>
        <w:rPr>
          <w:i/>
          <w:iCs/>
        </w:rPr>
        <w:t xml:space="preserve">5</w:t>
      </w:r>
      <w:r>
        <w:t xml:space="preserve">, 258.</w:t>
      </w:r>
    </w:p>
    <w:bookmarkEnd w:id="51"/>
    <w:bookmarkStart w:id="52" w:name="ref-castillo2023cardiac"/>
    <w:p>
      <w:pPr>
        <w:pStyle w:val="MDPI81references"/>
      </w:pPr>
      <w:r>
        <w:t xml:space="preserve">3.</w:t>
      </w:r>
      <w:r>
        <w:t xml:space="preserve"> </w:t>
      </w:r>
      <w:r>
        <w:t xml:space="preserve">	</w:t>
      </w:r>
      <w:r>
        <w:t xml:space="preserve">Castillo-Aguilar, M.; Mabe-Castro, D.; Mabe-Castro, M.; Oyarzo, V.; Harris King, K.; Valdés-Badilla, P.; Delgado-Floody, P.; González-Puelma, J.; Núñez-Espinosa, C. Cardiac Autonomic Regulation in Response to Functional Power Threshold Testing in Elite Cyclists.</w:t>
      </w:r>
      <w:r>
        <w:t xml:space="preserve"> </w:t>
      </w:r>
      <w:r>
        <w:rPr>
          <w:i/>
          <w:iCs/>
        </w:rPr>
        <w:t xml:space="preserve">Revista Andaluza de Medicina del Deporte</w:t>
      </w:r>
      <w:r>
        <w:t xml:space="preserve"> </w:t>
      </w:r>
      <w:r>
        <w:rPr>
          <w:b/>
          <w:bCs/>
        </w:rPr>
        <w:t xml:space="preserve">2023</w:t>
      </w:r>
      <w:r>
        <w:t xml:space="preserve">,</w:t>
      </w:r>
      <w:r>
        <w:t xml:space="preserve"> </w:t>
      </w:r>
      <w:r>
        <w:rPr>
          <w:i/>
          <w:iCs/>
        </w:rPr>
        <w:t xml:space="preserve">16</w:t>
      </w:r>
      <w:r>
        <w:t xml:space="preserve">.</w:t>
      </w:r>
    </w:p>
    <w:bookmarkEnd w:id="52"/>
    <w:bookmarkStart w:id="53" w:name="ref-castillo2023validity"/>
    <w:p>
      <w:pPr>
        <w:pStyle w:val="MDPI81references"/>
      </w:pPr>
      <w:r>
        <w:t xml:space="preserve">4.</w:t>
      </w:r>
      <w:r>
        <w:t xml:space="preserve"> </w:t>
      </w:r>
      <w:r>
        <w:t xml:space="preserve">	</w:t>
      </w:r>
      <w:r>
        <w:t xml:space="preserve">Castillo-Aguilar, M.; Mabe Castro, M.; Mabe Castro, D.; Valdés-Badilla, P.; Herrera-Valenzuela, T.; Guzmán-Muñoz, E.; Lang, M.; Niño Méndez, O.; Núñez-Espinosa, C. 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rPr>
          <w:b/>
          <w:bCs/>
        </w:rPr>
        <w:t xml:space="preserve">2023</w:t>
      </w:r>
      <w:r>
        <w:t xml:space="preserve">,</w:t>
      </w:r>
      <w:r>
        <w:t xml:space="preserve"> </w:t>
      </w:r>
      <w:r>
        <w:rPr>
          <w:i/>
          <w:iCs/>
        </w:rPr>
        <w:t xml:space="preserve">20</w:t>
      </w:r>
      <w:r>
        <w:t xml:space="preserve">, 4456.</w:t>
      </w:r>
    </w:p>
    <w:bookmarkEnd w:id="53"/>
    <w:bookmarkStart w:id="54" w:name="ref-arakaki2023connection"/>
    <w:p>
      <w:pPr>
        <w:pStyle w:val="MDPI81references"/>
      </w:pPr>
      <w:r>
        <w:t xml:space="preserve">5.</w:t>
      </w:r>
      <w:r>
        <w:t xml:space="preserve"> </w:t>
      </w:r>
      <w:r>
        <w:t xml:space="preserve">	</w:t>
      </w:r>
      <w:r>
        <w:t xml:space="preserve">Arakaki, X.; Arechavala, R.J.; Choy, E.H.; Bautista, J.; Bliss, B.; Molloy, C.; Wu, D.-A.; Shimojo, S.; Jiang, Y.; Kleinman, M.T.; et al. The Connection Between Heart Rate Variability (HRV), Neurological Health, and Cognition: A Literature Review.</w:t>
      </w:r>
      <w:r>
        <w:t xml:space="preserve"> </w:t>
      </w:r>
      <w:r>
        <w:rPr>
          <w:i/>
          <w:iCs/>
        </w:rPr>
        <w:t xml:space="preserve">Frontiers in neuroscience</w:t>
      </w:r>
      <w:r>
        <w:t xml:space="preserve"> </w:t>
      </w:r>
      <w:r>
        <w:rPr>
          <w:b/>
          <w:bCs/>
        </w:rPr>
        <w:t xml:space="preserve">2023</w:t>
      </w:r>
      <w:r>
        <w:t xml:space="preserve">,</w:t>
      </w:r>
      <w:r>
        <w:t xml:space="preserve"> </w:t>
      </w:r>
      <w:r>
        <w:rPr>
          <w:i/>
          <w:iCs/>
        </w:rPr>
        <w:t xml:space="preserve">17</w:t>
      </w:r>
      <w:r>
        <w:t xml:space="preserve">, 1055445.</w:t>
      </w:r>
    </w:p>
    <w:bookmarkEnd w:id="54"/>
    <w:bookmarkStart w:id="55" w:name="ref-orini2023long"/>
    <w:p>
      <w:pPr>
        <w:pStyle w:val="MDPI81references"/>
      </w:pPr>
      <w:r>
        <w:t xml:space="preserve">6.</w:t>
      </w:r>
      <w:r>
        <w:t xml:space="preserve"> </w:t>
      </w:r>
      <w:r>
        <w:t xml:space="preserve">	</w:t>
      </w:r>
      <w:r>
        <w:t xml:space="preserve">Orini, M.; Duijvenboden, S. van; Young, W.J.; Ramı́rez, J.; Jones, A.R.; Hughes, A.D.; Tinker, A.; Munroe, P.B.; Lambiase, P.D. Long-Term Association of Ultra-Short Heart Rate Variability with Cardiovascular Events.</w:t>
      </w:r>
      <w:r>
        <w:t xml:space="preserve"> </w:t>
      </w:r>
      <w:r>
        <w:rPr>
          <w:i/>
          <w:iCs/>
        </w:rPr>
        <w:t xml:space="preserve">Scientific Reports</w:t>
      </w:r>
      <w:r>
        <w:t xml:space="preserve"> </w:t>
      </w:r>
      <w:r>
        <w:rPr>
          <w:b/>
          <w:bCs/>
        </w:rPr>
        <w:t xml:space="preserve">2023</w:t>
      </w:r>
      <w:r>
        <w:t xml:space="preserve">,</w:t>
      </w:r>
      <w:r>
        <w:t xml:space="preserve"> </w:t>
      </w:r>
      <w:r>
        <w:rPr>
          <w:i/>
          <w:iCs/>
        </w:rPr>
        <w:t xml:space="preserve">13</w:t>
      </w:r>
      <w:r>
        <w:t xml:space="preserve">, 18966.</w:t>
      </w:r>
    </w:p>
    <w:bookmarkEnd w:id="55"/>
    <w:bookmarkStart w:id="56" w:name="ref-serhiyenko2024post"/>
    <w:p>
      <w:pPr>
        <w:pStyle w:val="MDPI81references"/>
      </w:pPr>
      <w:r>
        <w:t xml:space="preserve">7.</w:t>
      </w:r>
      <w:r>
        <w:t xml:space="preserve"> </w:t>
      </w:r>
      <w:r>
        <w:t xml:space="preserve">	</w:t>
      </w:r>
      <w:r>
        <w:t xml:space="preserve">Serhiyenko, A.; Baitsar, M.; Sehin, V.; Serhiyenko, L.; Kuznets, V.; Serhiyenko, V. Post-Traumatic Stress Disorder, Insomnia, Heart Rate Variability and Metabolic Syndrome (Narrative Review).</w:t>
      </w:r>
      <w:r>
        <w:t xml:space="preserve"> </w:t>
      </w:r>
      <w:r>
        <w:rPr>
          <w:i/>
          <w:iCs/>
        </w:rPr>
        <w:t xml:space="preserve">Proceeding of the Shevchenko Scientific Society. Medical Sciences</w:t>
      </w:r>
      <w:r>
        <w:t xml:space="preserve"> </w:t>
      </w:r>
      <w:r>
        <w:rPr>
          <w:b/>
          <w:bCs/>
        </w:rPr>
        <w:t xml:space="preserve">2024</w:t>
      </w:r>
      <w:r>
        <w:t xml:space="preserve">,</w:t>
      </w:r>
      <w:r>
        <w:t xml:space="preserve"> </w:t>
      </w:r>
      <w:r>
        <w:rPr>
          <w:i/>
          <w:iCs/>
        </w:rPr>
        <w:t xml:space="preserve">73</w:t>
      </w:r>
      <w:r>
        <w:t xml:space="preserve">.</w:t>
      </w:r>
    </w:p>
    <w:bookmarkEnd w:id="56"/>
    <w:bookmarkStart w:id="57" w:name="ref-schneider2020autonomic"/>
    <w:p>
      <w:pPr>
        <w:pStyle w:val="MDPI81references"/>
      </w:pPr>
      <w:r>
        <w:t xml:space="preserve">8.</w:t>
      </w:r>
      <w:r>
        <w:t xml:space="preserve"> </w:t>
      </w:r>
      <w:r>
        <w:t xml:space="preserve">	</w:t>
      </w:r>
      <w:r>
        <w:t xml:space="preserve">Schneider, M.; Schwerdtfeger, A. Autonomic Dysfunction in Posttraumatic Stress Disorder Indexed by Heart Rate Variability: A Meta-Analysis.</w:t>
      </w:r>
      <w:r>
        <w:t xml:space="preserve"> </w:t>
      </w:r>
      <w:r>
        <w:rPr>
          <w:i/>
          <w:iCs/>
        </w:rPr>
        <w:t xml:space="preserve">Psychological medicine</w:t>
      </w:r>
      <w:r>
        <w:t xml:space="preserve"> </w:t>
      </w:r>
      <w:r>
        <w:rPr>
          <w:b/>
          <w:bCs/>
        </w:rPr>
        <w:t xml:space="preserve">2020</w:t>
      </w:r>
      <w:r>
        <w:t xml:space="preserve">,</w:t>
      </w:r>
      <w:r>
        <w:t xml:space="preserve"> </w:t>
      </w:r>
      <w:r>
        <w:rPr>
          <w:i/>
          <w:iCs/>
        </w:rPr>
        <w:t xml:space="preserve">50</w:t>
      </w:r>
      <w:r>
        <w:t xml:space="preserve">, 1937–1948.</w:t>
      </w:r>
    </w:p>
    <w:bookmarkEnd w:id="57"/>
    <w:bookmarkStart w:id="58" w:name="ref-cheng2022heart"/>
    <w:p>
      <w:pPr>
        <w:pStyle w:val="MDPI81references"/>
      </w:pPr>
      <w:r>
        <w:t xml:space="preserve">9.</w:t>
      </w:r>
      <w:r>
        <w:t xml:space="preserve"> </w:t>
      </w:r>
      <w:r>
        <w:t xml:space="preserve">	</w:t>
      </w:r>
      <w:r>
        <w:t xml:space="preserve">Cheng, Y.-C.; Su, M.-I.; Liu, C.-W.; Huang, Y.-C.; Huang, W.-L. Heart Rate Variability in Patients with Anxiety Disorders: A Systematic Review and Meta-Analysis.</w:t>
      </w:r>
      <w:r>
        <w:t xml:space="preserve"> </w:t>
      </w:r>
      <w:r>
        <w:rPr>
          <w:i/>
          <w:iCs/>
        </w:rPr>
        <w:t xml:space="preserve">Psychiatry and Clinical Neurosciences</w:t>
      </w:r>
      <w:r>
        <w:t xml:space="preserve"> </w:t>
      </w:r>
      <w:r>
        <w:rPr>
          <w:b/>
          <w:bCs/>
        </w:rPr>
        <w:t xml:space="preserve">2022</w:t>
      </w:r>
      <w:r>
        <w:t xml:space="preserve">,</w:t>
      </w:r>
      <w:r>
        <w:t xml:space="preserve"> </w:t>
      </w:r>
      <w:r>
        <w:rPr>
          <w:i/>
          <w:iCs/>
        </w:rPr>
        <w:t xml:space="preserve">76</w:t>
      </w:r>
      <w:r>
        <w:t xml:space="preserve">, 292–302.</w:t>
      </w:r>
    </w:p>
    <w:bookmarkEnd w:id="58"/>
    <w:bookmarkStart w:id="59" w:name="ref-tomasi2024heart"/>
    <w:p>
      <w:pPr>
        <w:pStyle w:val="MDPI81references"/>
      </w:pPr>
      <w:r>
        <w:t xml:space="preserve">10.</w:t>
      </w:r>
      <w:r>
        <w:t xml:space="preserve"> </w:t>
      </w:r>
      <w:r>
        <w:t xml:space="preserve">	</w:t>
      </w:r>
      <w:r>
        <w:t xml:space="preserve">Tomasi, J.; Zai, C.C.; Pouget, J.G.; Tiwari, A.K.; Kennedy, J.L. Heart Rate Variability: Evaluating a Potential Biomarker of Anxiety Disorders.</w:t>
      </w:r>
      <w:r>
        <w:t xml:space="preserve"> </w:t>
      </w:r>
      <w:r>
        <w:rPr>
          <w:i/>
          <w:iCs/>
        </w:rPr>
        <w:t xml:space="preserve">Psychophysiology</w:t>
      </w:r>
      <w:r>
        <w:t xml:space="preserve"> </w:t>
      </w:r>
      <w:r>
        <w:rPr>
          <w:b/>
          <w:bCs/>
        </w:rPr>
        <w:t xml:space="preserve">2024</w:t>
      </w:r>
      <w:r>
        <w:t xml:space="preserve">,</w:t>
      </w:r>
      <w:r>
        <w:t xml:space="preserve"> </w:t>
      </w:r>
      <w:r>
        <w:rPr>
          <w:i/>
          <w:iCs/>
        </w:rPr>
        <w:t xml:space="preserve">61</w:t>
      </w:r>
      <w:r>
        <w:t xml:space="preserve">, e14481.</w:t>
      </w:r>
    </w:p>
    <w:bookmarkEnd w:id="59"/>
    <w:bookmarkStart w:id="60" w:name="ref-shaffer2020critical"/>
    <w:p>
      <w:pPr>
        <w:pStyle w:val="MDPI81references"/>
      </w:pPr>
      <w:r>
        <w:t xml:space="preserve">11.</w:t>
      </w:r>
      <w:r>
        <w:t xml:space="preserve"> </w:t>
      </w:r>
      <w:r>
        <w:t xml:space="preserve">	</w:t>
      </w:r>
      <w:r>
        <w:t xml:space="preserve">Shaffer, F.; Meehan, Z.M.; Zerr, C.L. A Critical Review of Ultra-Short-Term Heart Rate Variability Norms Research.</w:t>
      </w:r>
      <w:r>
        <w:t xml:space="preserve"> </w:t>
      </w:r>
      <w:r>
        <w:rPr>
          <w:i/>
          <w:iCs/>
        </w:rPr>
        <w:t xml:space="preserve">Frontiers in neuroscience</w:t>
      </w:r>
      <w:r>
        <w:t xml:space="preserve"> </w:t>
      </w:r>
      <w:r>
        <w:rPr>
          <w:b/>
          <w:bCs/>
        </w:rPr>
        <w:t xml:space="preserve">2020</w:t>
      </w:r>
      <w:r>
        <w:t xml:space="preserve">,</w:t>
      </w:r>
      <w:r>
        <w:t xml:space="preserve"> </w:t>
      </w:r>
      <w:r>
        <w:rPr>
          <w:i/>
          <w:iCs/>
        </w:rPr>
        <w:t xml:space="preserve">14</w:t>
      </w:r>
      <w:r>
        <w:t xml:space="preserve">, 594880.</w:t>
      </w:r>
    </w:p>
    <w:bookmarkEnd w:id="60"/>
    <w:bookmarkStart w:id="61" w:name="ref-kim2021ultra"/>
    <w:p>
      <w:pPr>
        <w:pStyle w:val="MDPI81references"/>
      </w:pPr>
      <w:r>
        <w:t xml:space="preserve">12.</w:t>
      </w:r>
      <w:r>
        <w:t xml:space="preserve"> </w:t>
      </w:r>
      <w:r>
        <w:t xml:space="preserve">	</w:t>
      </w:r>
      <w:r>
        <w:t xml:space="preserve">Kim, J.W.; Seok, H.S.; Shin, H. Is Ultra-Short-Term Heart Rate Variability Valid in Non-Static Conditions?</w:t>
      </w:r>
      <w:r>
        <w:t xml:space="preserve"> </w:t>
      </w:r>
      <w:r>
        <w:rPr>
          <w:i/>
          <w:iCs/>
        </w:rPr>
        <w:t xml:space="preserve">Frontiers in physiology</w:t>
      </w:r>
      <w:r>
        <w:t xml:space="preserve"> </w:t>
      </w:r>
      <w:r>
        <w:rPr>
          <w:b/>
          <w:bCs/>
        </w:rPr>
        <w:t xml:space="preserve">2021</w:t>
      </w:r>
      <w:r>
        <w:t xml:space="preserve">,</w:t>
      </w:r>
      <w:r>
        <w:t xml:space="preserve"> </w:t>
      </w:r>
      <w:r>
        <w:rPr>
          <w:i/>
          <w:iCs/>
        </w:rPr>
        <w:t xml:space="preserve">12</w:t>
      </w:r>
      <w:r>
        <w:t xml:space="preserve">, 596060.</w:t>
      </w:r>
    </w:p>
    <w:bookmarkEnd w:id="61"/>
    <w:bookmarkStart w:id="62" w:name="ref-lu2023uncertainties"/>
    <w:p>
      <w:pPr>
        <w:pStyle w:val="MDPI81references"/>
      </w:pPr>
      <w:r>
        <w:t xml:space="preserve">13.</w:t>
      </w:r>
      <w:r>
        <w:t xml:space="preserve"> </w:t>
      </w:r>
      <w:r>
        <w:t xml:space="preserve">	</w:t>
      </w:r>
      <w:r>
        <w:t xml:space="preserve">Lu, L.; Zhu, T.; Morelli, D.; Creagh, A.; Liu, Z.; Yang, J.; Liu, F.; Zhang, Y.-T.; Clifton, D.A. Uncertainties in the Analysis of Heart Rate Variability: A Systematic Review.</w:t>
      </w:r>
      <w:r>
        <w:t xml:space="preserve"> </w:t>
      </w:r>
      <w:r>
        <w:rPr>
          <w:i/>
          <w:iCs/>
        </w:rPr>
        <w:t xml:space="preserve">IEEE Reviews in Biomedical Engineering</w:t>
      </w:r>
      <w:r>
        <w:t xml:space="preserve"> </w:t>
      </w:r>
      <w:r>
        <w:rPr>
          <w:b/>
          <w:bCs/>
        </w:rPr>
        <w:t xml:space="preserve">2023</w:t>
      </w:r>
      <w:r>
        <w:t xml:space="preserve">,</w:t>
      </w:r>
      <w:r>
        <w:t xml:space="preserve"> </w:t>
      </w:r>
      <w:r>
        <w:rPr>
          <w:i/>
          <w:iCs/>
        </w:rPr>
        <w:t xml:space="preserve">17</w:t>
      </w:r>
      <w:r>
        <w:t xml:space="preserve">, 180–196.</w:t>
      </w:r>
    </w:p>
    <w:bookmarkEnd w:id="62"/>
    <w:bookmarkStart w:id="63" w:name="ref-tiwari2021analysis"/>
    <w:p>
      <w:pPr>
        <w:pStyle w:val="MDPI81references"/>
      </w:pPr>
      <w:r>
        <w:t xml:space="preserve">14.</w:t>
      </w:r>
      <w:r>
        <w:t xml:space="preserve"> </w:t>
      </w:r>
      <w:r>
        <w:t xml:space="preserve">	</w:t>
      </w:r>
      <w:r>
        <w:t xml:space="preserve">Tiwari, R.; Kumar, R.; Malik, S.; Raj, T.; Kumar, P. Analysis of Heart Rate Variability and Implication of Different Factors on Heart Rate Variability.</w:t>
      </w:r>
      <w:r>
        <w:t xml:space="preserve"> </w:t>
      </w:r>
      <w:r>
        <w:rPr>
          <w:i/>
          <w:iCs/>
        </w:rPr>
        <w:t xml:space="preserve">Current cardiology reviews</w:t>
      </w:r>
      <w:r>
        <w:t xml:space="preserve"> </w:t>
      </w:r>
      <w:r>
        <w:rPr>
          <w:b/>
          <w:bCs/>
        </w:rPr>
        <w:t xml:space="preserve">2021</w:t>
      </w:r>
      <w:r>
        <w:t xml:space="preserve">,</w:t>
      </w:r>
      <w:r>
        <w:t xml:space="preserve"> </w:t>
      </w:r>
      <w:r>
        <w:rPr>
          <w:i/>
          <w:iCs/>
        </w:rPr>
        <w:t xml:space="preserve">17</w:t>
      </w:r>
      <w:r>
        <w:t xml:space="preserve">, 74–83.</w:t>
      </w:r>
    </w:p>
    <w:bookmarkEnd w:id="63"/>
    <w:bookmarkStart w:id="64" w:name="ref-german2014wavelet"/>
    <w:p>
      <w:pPr>
        <w:pStyle w:val="MDPI81references"/>
      </w:pPr>
      <w:r>
        <w:t xml:space="preserve">15.</w:t>
      </w:r>
      <w:r>
        <w:t xml:space="preserve"> </w:t>
      </w:r>
      <w:r>
        <w:t xml:space="preserve">	</w:t>
      </w:r>
      <w:r>
        <w:t xml:space="preserve">German-Sallo, Z. Wavelet Transform Based HRV Analysis.</w:t>
      </w:r>
      <w:r>
        <w:t xml:space="preserve"> </w:t>
      </w:r>
      <w:r>
        <w:rPr>
          <w:i/>
          <w:iCs/>
        </w:rPr>
        <w:t xml:space="preserve">Procedia Technology</w:t>
      </w:r>
      <w:r>
        <w:t xml:space="preserve"> </w:t>
      </w:r>
      <w:r>
        <w:rPr>
          <w:b/>
          <w:bCs/>
        </w:rPr>
        <w:t xml:space="preserve">2014</w:t>
      </w:r>
      <w:r>
        <w:t xml:space="preserve">,</w:t>
      </w:r>
      <w:r>
        <w:t xml:space="preserve"> </w:t>
      </w:r>
      <w:r>
        <w:rPr>
          <w:i/>
          <w:iCs/>
        </w:rPr>
        <w:t xml:space="preserve">12</w:t>
      </w:r>
      <w:r>
        <w:t xml:space="preserve">, 105–111.</w:t>
      </w:r>
    </w:p>
    <w:bookmarkEnd w:id="64"/>
    <w:bookmarkStart w:id="65" w:name="ref-guo2022review"/>
    <w:p>
      <w:pPr>
        <w:pStyle w:val="MDPI81references"/>
      </w:pPr>
      <w:r>
        <w:t xml:space="preserve">16.</w:t>
      </w:r>
      <w:r>
        <w:t xml:space="preserve"> </w:t>
      </w:r>
      <w:r>
        <w:t xml:space="preserve">	</w:t>
      </w:r>
      <w:r>
        <w:t xml:space="preserve">Guo, T.; Zhang, T.; Lim, E.; Lopez-Benitez, M.; Ma, F.; Yu, L. A Review of Wavelet Analysis and Its Applications: Challenges and Opportunities.</w:t>
      </w:r>
      <w:r>
        <w:t xml:space="preserve"> </w:t>
      </w:r>
      <w:r>
        <w:rPr>
          <w:i/>
          <w:iCs/>
        </w:rPr>
        <w:t xml:space="preserve">IEEe Access</w:t>
      </w:r>
      <w:r>
        <w:t xml:space="preserve"> </w:t>
      </w:r>
      <w:r>
        <w:rPr>
          <w:b/>
          <w:bCs/>
        </w:rPr>
        <w:t xml:space="preserve">2022</w:t>
      </w:r>
      <w:r>
        <w:t xml:space="preserve">,</w:t>
      </w:r>
      <w:r>
        <w:t xml:space="preserve"> </w:t>
      </w:r>
      <w:r>
        <w:rPr>
          <w:i/>
          <w:iCs/>
        </w:rPr>
        <w:t xml:space="preserve">10</w:t>
      </w:r>
      <w:r>
        <w:t xml:space="preserve">, 58869–58903.</w:t>
      </w:r>
    </w:p>
    <w:bookmarkEnd w:id="65"/>
    <w:bookmarkStart w:id="66" w:name="ref-martin2018improving"/>
    <w:p>
      <w:pPr>
        <w:pStyle w:val="MDPI81references"/>
      </w:pPr>
      <w:r>
        <w:t xml:space="preserve">17.</w:t>
      </w:r>
      <w:r>
        <w:t xml:space="preserve"> </w:t>
      </w:r>
      <w:r>
        <w:t xml:space="preserve">	</w:t>
      </w:r>
      <w:r>
        <w:t xml:space="preserve">Martı́n-González, S.; Navarro-Mesa, J.L.; Juliá-Serdá, G.; Ramı́rez-Ávila, G.M.; Ravelo-Garcı́a, A.G. 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rPr>
          <w:b/>
          <w:bCs/>
        </w:rPr>
        <w:t xml:space="preserve">2018</w:t>
      </w:r>
      <w:r>
        <w:t xml:space="preserve">,</w:t>
      </w:r>
      <w:r>
        <w:t xml:space="preserve"> </w:t>
      </w:r>
      <w:r>
        <w:rPr>
          <w:i/>
          <w:iCs/>
        </w:rPr>
        <w:t xml:space="preserve">13</w:t>
      </w:r>
      <w:r>
        <w:t xml:space="preserve">, e0194462.</w:t>
      </w:r>
    </w:p>
    <w:bookmarkEnd w:id="66"/>
    <w:bookmarkStart w:id="67" w:name="ref-rosas2024bayesian"/>
    <w:p>
      <w:pPr>
        <w:pStyle w:val="MDPI81references"/>
      </w:pPr>
      <w:r>
        <w:t xml:space="preserve">18.</w:t>
      </w:r>
      <w:r>
        <w:t xml:space="preserve"> </w:t>
      </w:r>
      <w:r>
        <w:t xml:space="preserve">	</w:t>
      </w:r>
      <w:r>
        <w:t xml:space="preserve">Rosas, F.E.; Candia-Rivera, D.; Luppi, A.I.; Guo, Y.; Mediano, P.A. Bayesian at Heart: Towards Autonomic Outflow Estimation via Generative State-Space Modelling of Heart Rate Dynamics.</w:t>
      </w:r>
      <w:r>
        <w:t xml:space="preserve"> </w:t>
      </w:r>
      <w:r>
        <w:rPr>
          <w:i/>
          <w:iCs/>
        </w:rPr>
        <w:t xml:space="preserve">Computers in Biology and Medicine</w:t>
      </w:r>
      <w:r>
        <w:t xml:space="preserve"> </w:t>
      </w:r>
      <w:r>
        <w:rPr>
          <w:b/>
          <w:bCs/>
        </w:rPr>
        <w:t xml:space="preserve">2024</w:t>
      </w:r>
      <w:r>
        <w:t xml:space="preserve">,</w:t>
      </w:r>
      <w:r>
        <w:t xml:space="preserve"> </w:t>
      </w:r>
      <w:r>
        <w:rPr>
          <w:i/>
          <w:iCs/>
        </w:rPr>
        <w:t xml:space="preserve">170</w:t>
      </w:r>
      <w:r>
        <w:t xml:space="preserve">, 107857.</w:t>
      </w:r>
    </w:p>
    <w:bookmarkEnd w:id="67"/>
    <w:bookmarkStart w:id="68" w:name="ref-liu2024efficient"/>
    <w:p>
      <w:pPr>
        <w:pStyle w:val="MDPI81references"/>
      </w:pPr>
      <w:r>
        <w:t xml:space="preserve">19.</w:t>
      </w:r>
      <w:r>
        <w:t xml:space="preserve"> </w:t>
      </w:r>
      <w:r>
        <w:t xml:space="preserve">	</w:t>
      </w:r>
      <w:r>
        <w:t xml:space="preserve">Liu, S.; Perley, A.S.; Coleman, T.P. An Efficient Framework for Solving a Convex, State-Space Heartbeat Dynamics Model. In Proceedings of the 2024 46th annual international conference of the IEEE engineering in medicine and biology society (EMBC); IEEE, 2024; pp. 1–4.</w:t>
      </w:r>
    </w:p>
    <w:bookmarkEnd w:id="68"/>
    <w:bookmarkStart w:id="69" w:name="ref-barbieri2005point"/>
    <w:p>
      <w:pPr>
        <w:pStyle w:val="MDPI81references"/>
      </w:pPr>
      <w:r>
        <w:t xml:space="preserve">20.</w:t>
      </w:r>
      <w:r>
        <w:t xml:space="preserve"> </w:t>
      </w:r>
      <w:r>
        <w:t xml:space="preserve">	</w:t>
      </w:r>
      <w:r>
        <w:t xml:space="preserve">Barbieri, R.; Matten, E.C.; Alabi, A.A.; Brown, E.N. A Point-Process Model of Human Heartbeat Intervals: New Definitions of Heart Rate and Heart Rate Variability.</w:t>
      </w:r>
      <w:r>
        <w:t xml:space="preserve"> </w:t>
      </w:r>
      <w:r>
        <w:rPr>
          <w:i/>
          <w:iCs/>
        </w:rPr>
        <w:t xml:space="preserve">American Journal of Physiology-Heart and Circulatory Physiology</w:t>
      </w:r>
      <w:r>
        <w:t xml:space="preserve"> </w:t>
      </w:r>
      <w:r>
        <w:rPr>
          <w:b/>
          <w:bCs/>
        </w:rPr>
        <w:t xml:space="preserve">2005</w:t>
      </w:r>
      <w:r>
        <w:t xml:space="preserve">,</w:t>
      </w:r>
      <w:r>
        <w:t xml:space="preserve"> </w:t>
      </w:r>
      <w:r>
        <w:rPr>
          <w:i/>
          <w:iCs/>
        </w:rPr>
        <w:t xml:space="preserve">288</w:t>
      </w:r>
      <w:r>
        <w:t xml:space="preserve">, H424–H435.</w:t>
      </w:r>
    </w:p>
    <w:bookmarkEnd w:id="69"/>
    <w:bookmarkStart w:id="70" w:name="ref-tarvainen2006time"/>
    <w:p>
      <w:pPr>
        <w:pStyle w:val="MDPI81references"/>
      </w:pPr>
      <w:r>
        <w:t xml:space="preserve">21.</w:t>
      </w:r>
      <w:r>
        <w:t xml:space="preserve"> </w:t>
      </w:r>
      <w:r>
        <w:t xml:space="preserve">	</w:t>
      </w:r>
      <w:r>
        <w:t xml:space="preserve">Tarvainen, M.P.; Georgiadis, S.D.; Ranta-Aho, P.O.; Karjalainen, P.A. Time-Varying Analysis of Heart Rate Variability Signals with a Kalman Smoother Algorithm.</w:t>
      </w:r>
      <w:r>
        <w:t xml:space="preserve"> </w:t>
      </w:r>
      <w:r>
        <w:rPr>
          <w:i/>
          <w:iCs/>
        </w:rPr>
        <w:t xml:space="preserve">Physiological measurement</w:t>
      </w:r>
      <w:r>
        <w:t xml:space="preserve"> </w:t>
      </w:r>
      <w:r>
        <w:rPr>
          <w:b/>
          <w:bCs/>
        </w:rPr>
        <w:t xml:space="preserve">2006</w:t>
      </w:r>
      <w:r>
        <w:t xml:space="preserve">,</w:t>
      </w:r>
      <w:r>
        <w:t xml:space="preserve"> </w:t>
      </w:r>
      <w:r>
        <w:rPr>
          <w:i/>
          <w:iCs/>
        </w:rPr>
        <w:t xml:space="preserve">27</w:t>
      </w:r>
      <w:r>
        <w:t xml:space="preserve">, 225–239.</w:t>
      </w:r>
    </w:p>
    <w:bookmarkEnd w:id="70"/>
    <w:bookmarkStart w:id="71" w:name="ref-castillo2025enhancing"/>
    <w:p>
      <w:pPr>
        <w:pStyle w:val="MDPI81references"/>
      </w:pPr>
      <w:r>
        <w:t xml:space="preserve">22.</w:t>
      </w:r>
      <w:r>
        <w:t xml:space="preserve"> </w:t>
      </w:r>
      <w:r>
        <w:t xml:space="preserve">	</w:t>
      </w:r>
      <w:r>
        <w:t xml:space="preserve">Castillo-Aguilar, M.; Mabe-Castro, D.; Medina, D.; Núñez-Espinosa, C. Enhancing Cardiovascular Monitoring: A Non-Linear Model for Characterizing RR Interval Fluctuations in Exercise and Recovery.</w:t>
      </w:r>
      <w:r>
        <w:t xml:space="preserve"> </w:t>
      </w:r>
      <w:r>
        <w:rPr>
          <w:i/>
          <w:iCs/>
        </w:rPr>
        <w:t xml:space="preserve">Scientific Reports</w:t>
      </w:r>
      <w:r>
        <w:t xml:space="preserve"> </w:t>
      </w:r>
      <w:r>
        <w:rPr>
          <w:b/>
          <w:bCs/>
        </w:rPr>
        <w:t xml:space="preserve">2025</w:t>
      </w:r>
      <w:r>
        <w:t xml:space="preserve">,</w:t>
      </w:r>
      <w:r>
        <w:t xml:space="preserve"> </w:t>
      </w:r>
      <w:r>
        <w:rPr>
          <w:i/>
          <w:iCs/>
        </w:rPr>
        <w:t xml:space="preserve">15</w:t>
      </w:r>
      <w:r>
        <w:t xml:space="preserve">, 8628.</w:t>
      </w:r>
    </w:p>
    <w:bookmarkEnd w:id="71"/>
    <w:bookmarkStart w:id="72" w:name="ref-malik1990heart"/>
    <w:p>
      <w:pPr>
        <w:pStyle w:val="MDPI81references"/>
      </w:pPr>
      <w:r>
        <w:t xml:space="preserve">23.</w:t>
      </w:r>
      <w:r>
        <w:t xml:space="preserve"> </w:t>
      </w:r>
      <w:r>
        <w:t xml:space="preserve">	</w:t>
      </w:r>
      <w:r>
        <w:t xml:space="preserve">Malik, M.; Camm, A.J. Heart Rate Variability.</w:t>
      </w:r>
      <w:r>
        <w:t xml:space="preserve"> </w:t>
      </w:r>
      <w:r>
        <w:rPr>
          <w:i/>
          <w:iCs/>
        </w:rPr>
        <w:t xml:space="preserve">Clinical cardiology</w:t>
      </w:r>
      <w:r>
        <w:t xml:space="preserve"> </w:t>
      </w:r>
      <w:r>
        <w:rPr>
          <w:b/>
          <w:bCs/>
        </w:rPr>
        <w:t xml:space="preserve">1990</w:t>
      </w:r>
      <w:r>
        <w:t xml:space="preserve">,</w:t>
      </w:r>
      <w:r>
        <w:t xml:space="preserve"> </w:t>
      </w:r>
      <w:r>
        <w:rPr>
          <w:i/>
          <w:iCs/>
        </w:rPr>
        <w:t xml:space="preserve">13</w:t>
      </w:r>
      <w:r>
        <w:t xml:space="preserve">, 570–576.</w:t>
      </w:r>
    </w:p>
    <w:bookmarkEnd w:id="72"/>
    <w:bookmarkStart w:id="73" w:name="ref-voss2009methods"/>
    <w:p>
      <w:pPr>
        <w:pStyle w:val="MDPI81references"/>
      </w:pPr>
      <w:r>
        <w:t xml:space="preserve">24.</w:t>
      </w:r>
      <w:r>
        <w:t xml:space="preserve"> </w:t>
      </w:r>
      <w:r>
        <w:t xml:space="preserve">	</w:t>
      </w:r>
      <w:r>
        <w:t xml:space="preserve">Voss, A.; Schulz, S.; Schroeder, R.; Baumert, M.; Caminal, P. 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rPr>
          <w:b/>
          <w:bCs/>
        </w:rPr>
        <w:t xml:space="preserve">2009</w:t>
      </w:r>
      <w:r>
        <w:t xml:space="preserve">,</w:t>
      </w:r>
      <w:r>
        <w:t xml:space="preserve"> </w:t>
      </w:r>
      <w:r>
        <w:rPr>
          <w:i/>
          <w:iCs/>
        </w:rPr>
        <w:t xml:space="preserve">367</w:t>
      </w:r>
      <w:r>
        <w:t xml:space="preserve">, 277–296.</w:t>
      </w:r>
    </w:p>
    <w:bookmarkEnd w:id="73"/>
    <w:bookmarkStart w:id="74" w:name="ref-rajendra2006heart"/>
    <w:p>
      <w:pPr>
        <w:pStyle w:val="MDPI81references"/>
      </w:pPr>
      <w:r>
        <w:t xml:space="preserve">25.</w:t>
      </w:r>
      <w:r>
        <w:t xml:space="preserve"> </w:t>
      </w:r>
      <w:r>
        <w:t xml:space="preserve">	</w:t>
      </w:r>
      <w:r>
        <w:t xml:space="preserve">Rajendra Acharya, U.; Paul Joseph, K.; Kannathal, N.; Lim, C.M.; Suri, J.S. Heart Rate Variability: A Review.</w:t>
      </w:r>
      <w:r>
        <w:t xml:space="preserve"> </w:t>
      </w:r>
      <w:r>
        <w:rPr>
          <w:i/>
          <w:iCs/>
        </w:rPr>
        <w:t xml:space="preserve">Medical and biological engineering and computing</w:t>
      </w:r>
      <w:r>
        <w:t xml:space="preserve"> </w:t>
      </w:r>
      <w:r>
        <w:rPr>
          <w:b/>
          <w:bCs/>
        </w:rPr>
        <w:t xml:space="preserve">2006</w:t>
      </w:r>
      <w:r>
        <w:t xml:space="preserve">,</w:t>
      </w:r>
      <w:r>
        <w:t xml:space="preserve"> </w:t>
      </w:r>
      <w:r>
        <w:rPr>
          <w:i/>
          <w:iCs/>
        </w:rPr>
        <w:t xml:space="preserve">44</w:t>
      </w:r>
      <w:r>
        <w:t xml:space="preserve">, 1031–1051.</w:t>
      </w:r>
    </w:p>
    <w:bookmarkEnd w:id="74"/>
    <w:bookmarkStart w:id="75" w:name="ref-ghahramani2013bayesian"/>
    <w:p>
      <w:pPr>
        <w:pStyle w:val="MDPI81references"/>
      </w:pPr>
      <w:r>
        <w:t xml:space="preserve">26.</w:t>
      </w:r>
      <w:r>
        <w:t xml:space="preserve"> </w:t>
      </w:r>
      <w:r>
        <w:t xml:space="preserve">	</w:t>
      </w:r>
      <w:r>
        <w:t xml:space="preserve">Ghahramani, Z. Bayesian Non-Parametrics and the Probabilistic Approach to Modelling.</w:t>
      </w:r>
      <w:r>
        <w:t xml:space="preserve"> </w:t>
      </w:r>
      <w:r>
        <w:rPr>
          <w:i/>
          <w:iCs/>
        </w:rPr>
        <w:t xml:space="preserve">Philosophical Transactions of the Royal Society A: Mathematical, Physical and Engineering Sciences</w:t>
      </w:r>
      <w:r>
        <w:t xml:space="preserve"> </w:t>
      </w:r>
      <w:r>
        <w:rPr>
          <w:b/>
          <w:bCs/>
        </w:rPr>
        <w:t xml:space="preserve">2013</w:t>
      </w:r>
      <w:r>
        <w:t xml:space="preserve">,</w:t>
      </w:r>
      <w:r>
        <w:t xml:space="preserve"> </w:t>
      </w:r>
      <w:r>
        <w:rPr>
          <w:i/>
          <w:iCs/>
        </w:rPr>
        <w:t xml:space="preserve">371</w:t>
      </w:r>
      <w:r>
        <w:t xml:space="preserve">, 20110553.</w:t>
      </w:r>
    </w:p>
    <w:bookmarkEnd w:id="75"/>
    <w:bookmarkStart w:id="76" w:name="ref-cook2006validation"/>
    <w:p>
      <w:pPr>
        <w:pStyle w:val="MDPI81references"/>
      </w:pPr>
      <w:r>
        <w:t xml:space="preserve">27.</w:t>
      </w:r>
      <w:r>
        <w:t xml:space="preserve"> </w:t>
      </w:r>
      <w:r>
        <w:t xml:space="preserve">	</w:t>
      </w:r>
      <w:r>
        <w:t xml:space="preserve">Cook, S.R.; Gelman, A.; Rubin, D.B. Validation of Software for Bayesian Models Using Posterior Quantiles.</w:t>
      </w:r>
      <w:r>
        <w:t xml:space="preserve"> </w:t>
      </w:r>
      <w:r>
        <w:rPr>
          <w:i/>
          <w:iCs/>
        </w:rPr>
        <w:t xml:space="preserve">Journal of Computational and Graphical Statistics</w:t>
      </w:r>
      <w:r>
        <w:t xml:space="preserve"> </w:t>
      </w:r>
      <w:r>
        <w:rPr>
          <w:b/>
          <w:bCs/>
        </w:rPr>
        <w:t xml:space="preserve">2006</w:t>
      </w:r>
      <w:r>
        <w:t xml:space="preserve">,</w:t>
      </w:r>
      <w:r>
        <w:t xml:space="preserve"> </w:t>
      </w:r>
      <w:r>
        <w:rPr>
          <w:i/>
          <w:iCs/>
        </w:rPr>
        <w:t xml:space="preserve">15</w:t>
      </w:r>
      <w:r>
        <w:t xml:space="preserve">, 675–692.</w:t>
      </w:r>
    </w:p>
    <w:bookmarkEnd w:id="76"/>
    <w:bookmarkStart w:id="77" w:name="ref-talts2018validating"/>
    <w:p>
      <w:pPr>
        <w:pStyle w:val="MDPI81references"/>
      </w:pPr>
      <w:r>
        <w:t xml:space="preserve">28.</w:t>
      </w:r>
      <w:r>
        <w:t xml:space="preserve"> </w:t>
      </w:r>
      <w:r>
        <w:t xml:space="preserve">	</w:t>
      </w:r>
      <w:r>
        <w:t xml:space="preserve">Talts, S.; Betancourt, M.; Simpson, D.; Vehtari, A.; Gelman, A. Validating Bayesian Inference Algorithms with Simulation-Based Calibration.</w:t>
      </w:r>
      <w:r>
        <w:t xml:space="preserve"> </w:t>
      </w:r>
      <w:r>
        <w:rPr>
          <w:i/>
          <w:iCs/>
        </w:rPr>
        <w:t xml:space="preserve">arXiv preprint arXiv:1804.06788</w:t>
      </w:r>
      <w:r>
        <w:t xml:space="preserve"> </w:t>
      </w:r>
      <w:r>
        <w:rPr>
          <w:b/>
          <w:bCs/>
        </w:rPr>
        <w:t xml:space="preserve">2018</w:t>
      </w:r>
      <w:r>
        <w:t xml:space="preserve">.</w:t>
      </w:r>
    </w:p>
    <w:bookmarkEnd w:id="77"/>
    <w:bookmarkStart w:id="78" w:name="ref-sassi2015advances"/>
    <w:p>
      <w:pPr>
        <w:pStyle w:val="MDPI81references"/>
      </w:pPr>
      <w:r>
        <w:t xml:space="preserve">29.</w:t>
      </w:r>
      <w:r>
        <w:t xml:space="preserve"> </w:t>
      </w:r>
      <w:r>
        <w:t xml:space="preserve">	</w:t>
      </w:r>
      <w:r>
        <w:t xml:space="preserve">Sassi, R.; Cerutti, S.; Lombardi, F.; Malik, M.; Huikuri, H.V.; Peng, C.-K.; Schmidt, G.; Yamamoto, Y.; Reviewers:, D.; Gorenek, B.; et al. 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rPr>
          <w:b/>
          <w:bCs/>
        </w:rPr>
        <w:t xml:space="preserve">2015</w:t>
      </w:r>
      <w:r>
        <w:t xml:space="preserve">,</w:t>
      </w:r>
      <w:r>
        <w:t xml:space="preserve"> </w:t>
      </w:r>
      <w:r>
        <w:rPr>
          <w:i/>
          <w:iCs/>
        </w:rPr>
        <w:t xml:space="preserve">17</w:t>
      </w:r>
      <w:r>
        <w:t xml:space="preserve">, 1341–1353.</w:t>
      </w:r>
    </w:p>
    <w:bookmarkEnd w:id="78"/>
    <w:bookmarkStart w:id="79" w:name="ref-deka2023detection"/>
    <w:p>
      <w:pPr>
        <w:pStyle w:val="MDPI81references"/>
      </w:pPr>
      <w:r>
        <w:t xml:space="preserve">30.</w:t>
      </w:r>
      <w:r>
        <w:t xml:space="preserve"> </w:t>
      </w:r>
      <w:r>
        <w:t xml:space="preserve">	</w:t>
      </w:r>
      <w:r>
        <w:t xml:space="preserve">Deka, D.; Deka, B. Detection of Meditation-Induced HRV Dynamics Using Averaging Technique-Based Oversampled Feature Set and Machine Learning Classifiers.</w:t>
      </w:r>
      <w:r>
        <w:t xml:space="preserve"> </w:t>
      </w:r>
      <w:r>
        <w:rPr>
          <w:i/>
          <w:iCs/>
        </w:rPr>
        <w:t xml:space="preserve">IEEE Access</w:t>
      </w:r>
      <w:r>
        <w:t xml:space="preserve"> </w:t>
      </w:r>
      <w:r>
        <w:rPr>
          <w:b/>
          <w:bCs/>
        </w:rPr>
        <w:t xml:space="preserve">2023</w:t>
      </w:r>
      <w:r>
        <w:t xml:space="preserve">,</w:t>
      </w:r>
      <w:r>
        <w:t xml:space="preserve"> </w:t>
      </w:r>
      <w:r>
        <w:rPr>
          <w:i/>
          <w:iCs/>
        </w:rPr>
        <w:t xml:space="preserve">11</w:t>
      </w:r>
      <w:r>
        <w:t xml:space="preserve">, 29576–29590.</w:t>
      </w:r>
    </w:p>
    <w:bookmarkEnd w:id="79"/>
    <w:bookmarkStart w:id="80" w:name="ref-shashikant2021gaussian"/>
    <w:p>
      <w:pPr>
        <w:pStyle w:val="MDPI81references"/>
      </w:pPr>
      <w:r>
        <w:t xml:space="preserve">31.</w:t>
      </w:r>
      <w:r>
        <w:t xml:space="preserve"> </w:t>
      </w:r>
      <w:r>
        <w:t xml:space="preserve">	</w:t>
      </w:r>
      <w:r>
        <w:t xml:space="preserve">Shashikant, R.; Chaskar, U.; Phadke, L.; Patil, C. 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rPr>
          <w:b/>
          <w:bCs/>
        </w:rPr>
        <w:t xml:space="preserve">2021</w:t>
      </w:r>
      <w:r>
        <w:t xml:space="preserve">,</w:t>
      </w:r>
      <w:r>
        <w:t xml:space="preserve"> </w:t>
      </w:r>
      <w:r>
        <w:rPr>
          <w:i/>
          <w:iCs/>
        </w:rPr>
        <w:t xml:space="preserve">11</w:t>
      </w:r>
      <w:r>
        <w:t xml:space="preserve">, 273–286.</w:t>
      </w:r>
    </w:p>
    <w:bookmarkEnd w:id="80"/>
    <w:bookmarkStart w:id="81" w:name="ref-hines2014determination"/>
    <w:p>
      <w:pPr>
        <w:pStyle w:val="MDPI81references"/>
      </w:pPr>
      <w:r>
        <w:t xml:space="preserve">32.</w:t>
      </w:r>
      <w:r>
        <w:t xml:space="preserve"> </w:t>
      </w:r>
      <w:r>
        <w:t xml:space="preserve">	</w:t>
      </w:r>
      <w:r>
        <w:t xml:space="preserve">Hines, K.E.; Middendorf, T.R.; Aldrich, R.W. Determination of Parameter Identifiability in Nonlinear Biophysical Models: A Bayesian Approach.</w:t>
      </w:r>
      <w:r>
        <w:t xml:space="preserve"> </w:t>
      </w:r>
      <w:r>
        <w:rPr>
          <w:i/>
          <w:iCs/>
        </w:rPr>
        <w:t xml:space="preserve">Journal of General Physiology</w:t>
      </w:r>
      <w:r>
        <w:t xml:space="preserve"> </w:t>
      </w:r>
      <w:r>
        <w:rPr>
          <w:b/>
          <w:bCs/>
        </w:rPr>
        <w:t xml:space="preserve">2014</w:t>
      </w:r>
      <w:r>
        <w:t xml:space="preserve">,</w:t>
      </w:r>
      <w:r>
        <w:t xml:space="preserve"> </w:t>
      </w:r>
      <w:r>
        <w:rPr>
          <w:i/>
          <w:iCs/>
        </w:rPr>
        <w:t xml:space="preserve">143</w:t>
      </w:r>
      <w:r>
        <w:t xml:space="preserve">, 401–416.</w:t>
      </w:r>
    </w:p>
    <w:bookmarkEnd w:id="81"/>
    <w:bookmarkStart w:id="82" w:name="ref-hyvarinen2024identifiability"/>
    <w:p>
      <w:pPr>
        <w:pStyle w:val="MDPI81references"/>
      </w:pPr>
      <w:r>
        <w:t xml:space="preserve">33.</w:t>
      </w:r>
      <w:r>
        <w:t xml:space="preserve"> </w:t>
      </w:r>
      <w:r>
        <w:t xml:space="preserve">	</w:t>
      </w:r>
      <w:r>
        <w:t xml:space="preserve">Hyvärinen, A.; Khemakhem, I.; Monti, R. Identifiability of Latent-Variable and Structural-Equation Models: From Linear to Nonlinear.</w:t>
      </w:r>
      <w:r>
        <w:t xml:space="preserve"> </w:t>
      </w:r>
      <w:r>
        <w:rPr>
          <w:i/>
          <w:iCs/>
        </w:rPr>
        <w:t xml:space="preserve">Annals of the Institute of Statistical Mathematics</w:t>
      </w:r>
      <w:r>
        <w:t xml:space="preserve"> </w:t>
      </w:r>
      <w:r>
        <w:rPr>
          <w:b/>
          <w:bCs/>
        </w:rPr>
        <w:t xml:space="preserve">2024</w:t>
      </w:r>
      <w:r>
        <w:t xml:space="preserve">,</w:t>
      </w:r>
      <w:r>
        <w:t xml:space="preserve"> </w:t>
      </w:r>
      <w:r>
        <w:rPr>
          <w:i/>
          <w:iCs/>
        </w:rPr>
        <w:t xml:space="preserve">76</w:t>
      </w:r>
      <w:r>
        <w:t xml:space="preserve">, 1–33.</w:t>
      </w:r>
    </w:p>
    <w:bookmarkEnd w:id="82"/>
    <w:bookmarkStart w:id="83" w:name="ref-polanczyk1998sympathetic"/>
    <w:p>
      <w:pPr>
        <w:pStyle w:val="MDPI81references"/>
      </w:pPr>
      <w:r>
        <w:t xml:space="preserve">34.</w:t>
      </w:r>
      <w:r>
        <w:t xml:space="preserve"> </w:t>
      </w:r>
      <w:r>
        <w:t xml:space="preserve">	</w:t>
      </w:r>
      <w:r>
        <w:t xml:space="preserve">Polanczyk, C.A.; Rohde, L.E.; Moraes, R.S.; Ferlin, E.L.; Leite, C.; Ribeiro, J.P. 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rPr>
          <w:b/>
          <w:bCs/>
        </w:rPr>
        <w:t xml:space="preserve">1998</w:t>
      </w:r>
      <w:r>
        <w:t xml:space="preserve">,</w:t>
      </w:r>
      <w:r>
        <w:t xml:space="preserve"> </w:t>
      </w:r>
      <w:r>
        <w:rPr>
          <w:i/>
          <w:iCs/>
        </w:rPr>
        <w:t xml:space="preserve">79</w:t>
      </w:r>
      <w:r>
        <w:t xml:space="preserve">, 69–73.</w:t>
      </w:r>
    </w:p>
    <w:bookmarkEnd w:id="83"/>
    <w:bookmarkStart w:id="84" w:name="ref-gregoire2023autonomic"/>
    <w:p>
      <w:pPr>
        <w:pStyle w:val="MDPI81references"/>
      </w:pPr>
      <w:r>
        <w:t xml:space="preserve">35.</w:t>
      </w:r>
      <w:r>
        <w:t xml:space="preserve"> </w:t>
      </w:r>
      <w:r>
        <w:t xml:space="preserve">	</w:t>
      </w:r>
      <w:r>
        <w:t xml:space="preserve">Grégoire, J.-M.; Gilon, C.; Carlier, S.; Bersini, H. Autonomic Nervous System Assessment Using Heart Rate Variability.</w:t>
      </w:r>
      <w:r>
        <w:t xml:space="preserve"> </w:t>
      </w:r>
      <w:r>
        <w:rPr>
          <w:i/>
          <w:iCs/>
        </w:rPr>
        <w:t xml:space="preserve">Acta cardiologica</w:t>
      </w:r>
      <w:r>
        <w:t xml:space="preserve"> </w:t>
      </w:r>
      <w:r>
        <w:rPr>
          <w:b/>
          <w:bCs/>
        </w:rPr>
        <w:t xml:space="preserve">2023</w:t>
      </w:r>
      <w:r>
        <w:t xml:space="preserve">,</w:t>
      </w:r>
      <w:r>
        <w:t xml:space="preserve"> </w:t>
      </w:r>
      <w:r>
        <w:rPr>
          <w:i/>
          <w:iCs/>
        </w:rPr>
        <w:t xml:space="preserve">78</w:t>
      </w:r>
      <w:r>
        <w:t xml:space="preserve">, 648–662.</w:t>
      </w:r>
    </w:p>
    <w:bookmarkEnd w:id="84"/>
    <w:bookmarkStart w:id="85" w:name="ref-lundberg2017unified"/>
    <w:p>
      <w:pPr>
        <w:pStyle w:val="MDPI81references"/>
      </w:pPr>
      <w:r>
        <w:t xml:space="preserve">36.</w:t>
      </w:r>
      <w:r>
        <w:t xml:space="preserve"> </w:t>
      </w:r>
      <w:r>
        <w:t xml:space="preserve">	</w:t>
      </w:r>
      <w:r>
        <w:t xml:space="preserve">Lundberg, S.M.; Lee, S.-I. A Unified Approach to Interpreting Model Predictions.</w:t>
      </w:r>
      <w:r>
        <w:t xml:space="preserve"> </w:t>
      </w:r>
      <w:r>
        <w:rPr>
          <w:i/>
          <w:iCs/>
        </w:rPr>
        <w:t xml:space="preserve">Advances in neural information processing systems</w:t>
      </w:r>
      <w:r>
        <w:t xml:space="preserve"> </w:t>
      </w:r>
      <w:r>
        <w:rPr>
          <w:b/>
          <w:bCs/>
        </w:rPr>
        <w:t xml:space="preserve">2017</w:t>
      </w:r>
      <w:r>
        <w:t xml:space="preserve">,</w:t>
      </w:r>
      <w:r>
        <w:t xml:space="preserve"> </w:t>
      </w:r>
      <w:r>
        <w:rPr>
          <w:i/>
          <w:iCs/>
        </w:rPr>
        <w:t xml:space="preserve">30</w:t>
      </w:r>
      <w:r>
        <w:t xml:space="preserve">.</w:t>
      </w:r>
    </w:p>
    <w:bookmarkEnd w:id="85"/>
    <w:bookmarkStart w:id="86" w:name="ref-malik1998heart"/>
    <w:p>
      <w:pPr>
        <w:pStyle w:val="MDPI81references"/>
      </w:pPr>
      <w:r>
        <w:t xml:space="preserve">37.</w:t>
      </w:r>
      <w:r>
        <w:t xml:space="preserve"> </w:t>
      </w:r>
      <w:r>
        <w:t xml:space="preserve">	</w:t>
      </w:r>
      <w:r>
        <w:t xml:space="preserve">Malik, M. Heart Rate Variability.</w:t>
      </w:r>
      <w:r>
        <w:t xml:space="preserve"> </w:t>
      </w:r>
      <w:r>
        <w:rPr>
          <w:i/>
          <w:iCs/>
        </w:rPr>
        <w:t xml:space="preserve">Current opinion in cardiology</w:t>
      </w:r>
      <w:r>
        <w:t xml:space="preserve"> </w:t>
      </w:r>
      <w:r>
        <w:rPr>
          <w:b/>
          <w:bCs/>
        </w:rPr>
        <w:t xml:space="preserve">1998</w:t>
      </w:r>
      <w:r>
        <w:t xml:space="preserve">,</w:t>
      </w:r>
      <w:r>
        <w:t xml:space="preserve"> </w:t>
      </w:r>
      <w:r>
        <w:rPr>
          <w:i/>
          <w:iCs/>
        </w:rPr>
        <w:t xml:space="preserve">13</w:t>
      </w:r>
      <w:r>
        <w:t xml:space="preserve">, 36–44.</w:t>
      </w:r>
    </w:p>
    <w:bookmarkEnd w:id="86"/>
    <w:bookmarkStart w:id="87" w:name="ref-ramstead2022generative"/>
    <w:p>
      <w:pPr>
        <w:pStyle w:val="MDPI81references"/>
      </w:pPr>
      <w:r>
        <w:t xml:space="preserve">38.</w:t>
      </w:r>
      <w:r>
        <w:t xml:space="preserve"> </w:t>
      </w:r>
      <w:r>
        <w:t xml:space="preserve">	</w:t>
      </w:r>
      <w:r>
        <w:t xml:space="preserve">Ramstead, M.J.; Seth, A.K.; Hesp, C.; Sandved-Smith, L.; Mago, J.; Lifshitz, M.; Pagnoni, G.; Smith, R.; Dumas, G.; Lutz, A.; et al. From Generative Models to Generative Passages: A Computational Approach to (Neuro) Phenomenology.</w:t>
      </w:r>
      <w:r>
        <w:t xml:space="preserve"> </w:t>
      </w:r>
      <w:r>
        <w:rPr>
          <w:i/>
          <w:iCs/>
        </w:rPr>
        <w:t xml:space="preserve">Review of Philosophy and Psychology</w:t>
      </w:r>
      <w:r>
        <w:t xml:space="preserve"> </w:t>
      </w:r>
      <w:r>
        <w:rPr>
          <w:b/>
          <w:bCs/>
        </w:rPr>
        <w:t xml:space="preserve">2022</w:t>
      </w:r>
      <w:r>
        <w:t xml:space="preserve">,</w:t>
      </w:r>
      <w:r>
        <w:t xml:space="preserve"> </w:t>
      </w:r>
      <w:r>
        <w:rPr>
          <w:i/>
          <w:iCs/>
        </w:rPr>
        <w:t xml:space="preserve">13</w:t>
      </w:r>
      <w:r>
        <w:t xml:space="preserve">, 829–857.</w:t>
      </w:r>
    </w:p>
    <w:bookmarkEnd w:id="87"/>
    <w:bookmarkStart w:id="88" w:name="ref-thiele2024choosing"/>
    <w:p>
      <w:pPr>
        <w:pStyle w:val="MDPI81references"/>
      </w:pPr>
      <w:r>
        <w:t xml:space="preserve">39.</w:t>
      </w:r>
      <w:r>
        <w:t xml:space="preserve"> </w:t>
      </w:r>
      <w:r>
        <w:t xml:space="preserve">	</w:t>
      </w:r>
      <w:r>
        <w:t xml:space="preserve">Thiele, J.A.; Faskowitz, J.; Sporns, O.; Hilger, K. Choosing Explanation over Performance: Insights from Machine Learning-Based Prediction of Human Intelligence from Brain Connectivity.</w:t>
      </w:r>
      <w:r>
        <w:t xml:space="preserve"> </w:t>
      </w:r>
      <w:r>
        <w:rPr>
          <w:i/>
          <w:iCs/>
        </w:rPr>
        <w:t xml:space="preserve">PNAS nexus</w:t>
      </w:r>
      <w:r>
        <w:t xml:space="preserve"> </w:t>
      </w:r>
      <w:r>
        <w:rPr>
          <w:b/>
          <w:bCs/>
        </w:rPr>
        <w:t xml:space="preserve">2024</w:t>
      </w:r>
      <w:r>
        <w:t xml:space="preserve">,</w:t>
      </w:r>
      <w:r>
        <w:t xml:space="preserve"> </w:t>
      </w:r>
      <w:r>
        <w:rPr>
          <w:i/>
          <w:iCs/>
        </w:rPr>
        <w:t xml:space="preserve">3</w:t>
      </w:r>
      <w:r>
        <w:t xml:space="preserve">, pgae519.</w:t>
      </w:r>
    </w:p>
    <w:bookmarkEnd w:id="88"/>
    <w:bookmarkStart w:id="89" w:name="ref-navarro2021risk"/>
    <w:p>
      <w:pPr>
        <w:pStyle w:val="MDPI81references"/>
      </w:pPr>
      <w:r>
        <w:t xml:space="preserve">40.</w:t>
      </w:r>
      <w:r>
        <w:t xml:space="preserve"> </w:t>
      </w:r>
      <w:r>
        <w:t xml:space="preserve">	</w:t>
      </w:r>
      <w:r>
        <w:t xml:space="preserve">Navarro, C.L.A.; Damen, J.A.; Takada, T.; Nijman, S.W.; Dhiman, P.; Ma, J.; Collins, G.S.; Bajpai, R.; Riley, R.D.; Moons, K.G.; et al. Risk of Bias in Studies on Prediction Models Developed Using Supervised Machine Learning Techniques: Systematic Review.</w:t>
      </w:r>
      <w:r>
        <w:t xml:space="preserve"> </w:t>
      </w:r>
      <w:r>
        <w:rPr>
          <w:i/>
          <w:iCs/>
        </w:rPr>
        <w:t xml:space="preserve">bmj</w:t>
      </w:r>
      <w:r>
        <w:t xml:space="preserve"> </w:t>
      </w:r>
      <w:r>
        <w:rPr>
          <w:b/>
          <w:bCs/>
        </w:rPr>
        <w:t xml:space="preserve">2021</w:t>
      </w:r>
      <w:r>
        <w:t xml:space="preserve">,</w:t>
      </w:r>
      <w:r>
        <w:t xml:space="preserve"> </w:t>
      </w:r>
      <w:r>
        <w:rPr>
          <w:i/>
          <w:iCs/>
        </w:rPr>
        <w:t xml:space="preserve">375</w:t>
      </w:r>
      <w:r>
        <w:t xml:space="preserve">.</w:t>
      </w:r>
    </w:p>
    <w:bookmarkEnd w:id="89"/>
    <w:bookmarkStart w:id="90" w:name="ref-rosenberg2018prediction"/>
    <w:p>
      <w:pPr>
        <w:pStyle w:val="MDPI81references"/>
      </w:pPr>
      <w:r>
        <w:t xml:space="preserve">41.</w:t>
      </w:r>
      <w:r>
        <w:t xml:space="preserve"> </w:t>
      </w:r>
      <w:r>
        <w:t xml:space="preserve">	</w:t>
      </w:r>
      <w:r>
        <w:t xml:space="preserve">Rosenberg, M.D.; Casey, B.; Holmes, A.J. Prediction Complements Explanation in Understanding the Developing Brain.</w:t>
      </w:r>
      <w:r>
        <w:t xml:space="preserve"> </w:t>
      </w:r>
      <w:r>
        <w:rPr>
          <w:i/>
          <w:iCs/>
        </w:rPr>
        <w:t xml:space="preserve">Nature communications</w:t>
      </w:r>
      <w:r>
        <w:t xml:space="preserve"> </w:t>
      </w:r>
      <w:r>
        <w:rPr>
          <w:b/>
          <w:bCs/>
        </w:rPr>
        <w:t xml:space="preserve">2018</w:t>
      </w:r>
      <w:r>
        <w:t xml:space="preserve">,</w:t>
      </w:r>
      <w:r>
        <w:t xml:space="preserve"> </w:t>
      </w:r>
      <w:r>
        <w:rPr>
          <w:i/>
          <w:iCs/>
        </w:rPr>
        <w:t xml:space="preserve">9</w:t>
      </w:r>
      <w:r>
        <w:t xml:space="preserve">, 589.</w:t>
      </w:r>
    </w:p>
    <w:bookmarkEnd w:id="90"/>
    <w:bookmarkStart w:id="91" w:name="ref-colebank2024guidelines"/>
    <w:p>
      <w:pPr>
        <w:pStyle w:val="MDPI81references"/>
      </w:pPr>
      <w:r>
        <w:t xml:space="preserve">42.</w:t>
      </w:r>
      <w:r>
        <w:t xml:space="preserve"> </w:t>
      </w:r>
      <w:r>
        <w:t xml:space="preserve">	</w:t>
      </w:r>
      <w:r>
        <w:t xml:space="preserve">Colebank, M.J.; Oomen, P.A.; Witzenburg, C.M.; Grosberg, A.; Beard, D.A.; Husmeier, D.; Olufsen, M.S.; Chesler, N.C. Guidelines for Mechanistic Modeling and Analysis in Cardiovascular Research.</w:t>
      </w:r>
      <w:r>
        <w:t xml:space="preserve"> </w:t>
      </w:r>
      <w:r>
        <w:rPr>
          <w:i/>
          <w:iCs/>
        </w:rPr>
        <w:t xml:space="preserve">American Journal of Physiology-Heart and Circulatory Physiology</w:t>
      </w:r>
      <w:r>
        <w:t xml:space="preserve"> </w:t>
      </w:r>
      <w:r>
        <w:rPr>
          <w:b/>
          <w:bCs/>
        </w:rPr>
        <w:t xml:space="preserve">2024</w:t>
      </w:r>
      <w:r>
        <w:t xml:space="preserve">,</w:t>
      </w:r>
      <w:r>
        <w:t xml:space="preserve"> </w:t>
      </w:r>
      <w:r>
        <w:rPr>
          <w:i/>
          <w:iCs/>
        </w:rPr>
        <w:t xml:space="preserve">327</w:t>
      </w:r>
      <w:r>
        <w:t xml:space="preserve">, H473–H503.</w:t>
      </w:r>
    </w:p>
    <w:bookmarkEnd w:id="91"/>
    <w:bookmarkStart w:id="92" w:name="ref-lee2012dissociation"/>
    <w:p>
      <w:pPr>
        <w:pStyle w:val="MDPI81references"/>
      </w:pPr>
      <w:r>
        <w:t xml:space="preserve">43.</w:t>
      </w:r>
      <w:r>
        <w:t xml:space="preserve"> </w:t>
      </w:r>
      <w:r>
        <w:t xml:space="preserve">	</w:t>
      </w:r>
      <w:r>
        <w:t xml:space="preserve">Lee, C.M.; Mendoza, A. Dissociation of Heart Rate Variability and Heart Rate Recovery in Well-Trained Athletes.</w:t>
      </w:r>
      <w:r>
        <w:t xml:space="preserve"> </w:t>
      </w:r>
      <w:r>
        <w:rPr>
          <w:i/>
          <w:iCs/>
        </w:rPr>
        <w:t xml:space="preserve">European journal of applied physiology</w:t>
      </w:r>
      <w:r>
        <w:t xml:space="preserve"> </w:t>
      </w:r>
      <w:r>
        <w:rPr>
          <w:b/>
          <w:bCs/>
        </w:rPr>
        <w:t xml:space="preserve">2012</w:t>
      </w:r>
      <w:r>
        <w:t xml:space="preserve">,</w:t>
      </w:r>
      <w:r>
        <w:t xml:space="preserve"> </w:t>
      </w:r>
      <w:r>
        <w:rPr>
          <w:i/>
          <w:iCs/>
        </w:rPr>
        <w:t xml:space="preserve">112</w:t>
      </w:r>
      <w:r>
        <w:t xml:space="preserve">, 2757–2766.</w:t>
      </w:r>
    </w:p>
    <w:bookmarkEnd w:id="92"/>
    <w:bookmarkStart w:id="93" w:name="ref-sankaran2023generative"/>
    <w:p>
      <w:pPr>
        <w:pStyle w:val="MDPI81references"/>
      </w:pPr>
      <w:r>
        <w:t xml:space="preserve">44.</w:t>
      </w:r>
      <w:r>
        <w:t xml:space="preserve"> </w:t>
      </w:r>
      <w:r>
        <w:t xml:space="preserve">	</w:t>
      </w:r>
      <w:r>
        <w:t xml:space="preserve">Sankaran, K.; Holmes, S.P. Generative Models: An Interdisciplinary Perspective.</w:t>
      </w:r>
      <w:r>
        <w:t xml:space="preserve"> </w:t>
      </w:r>
      <w:r>
        <w:rPr>
          <w:i/>
          <w:iCs/>
        </w:rPr>
        <w:t xml:space="preserve">Annual Review of Statistics and Its Application</w:t>
      </w:r>
      <w:r>
        <w:t xml:space="preserve"> </w:t>
      </w:r>
      <w:r>
        <w:rPr>
          <w:b/>
          <w:bCs/>
        </w:rPr>
        <w:t xml:space="preserve">2023</w:t>
      </w:r>
      <w:r>
        <w:t xml:space="preserve">,</w:t>
      </w:r>
      <w:r>
        <w:t xml:space="preserve"> </w:t>
      </w:r>
      <w:r>
        <w:rPr>
          <w:i/>
          <w:iCs/>
        </w:rPr>
        <w:t xml:space="preserve">10</w:t>
      </w:r>
      <w:r>
        <w:t xml:space="preserve">, 325–352.</w:t>
      </w:r>
    </w:p>
    <w:bookmarkEnd w:id="93"/>
    <w:bookmarkStart w:id="94" w:name="ref-solis2020entropy"/>
    <w:p>
      <w:pPr>
        <w:pStyle w:val="MDPI81references"/>
      </w:pPr>
      <w:r>
        <w:t xml:space="preserve">45.</w:t>
      </w:r>
      <w:r>
        <w:t xml:space="preserve"> </w:t>
      </w:r>
      <w:r>
        <w:t xml:space="preserve">	</w:t>
      </w:r>
      <w:r>
        <w:t xml:space="preserve">Solı́s-Montufar, E.E.; Gálvez-Coyt, G.; Muñoz-Diosdado, A. Entropy Analysis of RR-Time Series from Stress Tests.</w:t>
      </w:r>
      <w:r>
        <w:t xml:space="preserve"> </w:t>
      </w:r>
      <w:r>
        <w:rPr>
          <w:i/>
          <w:iCs/>
        </w:rPr>
        <w:t xml:space="preserve">Frontiers in Physiology</w:t>
      </w:r>
      <w:r>
        <w:t xml:space="preserve"> </w:t>
      </w:r>
      <w:r>
        <w:rPr>
          <w:b/>
          <w:bCs/>
        </w:rPr>
        <w:t xml:space="preserve">2020</w:t>
      </w:r>
      <w:r>
        <w:t xml:space="preserve">,</w:t>
      </w:r>
      <w:r>
        <w:t xml:space="preserve"> </w:t>
      </w:r>
      <w:r>
        <w:rPr>
          <w:i/>
          <w:iCs/>
        </w:rPr>
        <w:t xml:space="preserve">11</w:t>
      </w:r>
      <w:r>
        <w:t xml:space="preserve">, 981.</w:t>
      </w:r>
    </w:p>
    <w:bookmarkEnd w:id="94"/>
    <w:bookmarkStart w:id="95" w:name="ref-kalinin2022atomically"/>
    <w:p>
      <w:pPr>
        <w:pStyle w:val="MDPI81references"/>
      </w:pPr>
      <w:r>
        <w:t xml:space="preserve">46.</w:t>
      </w:r>
      <w:r>
        <w:t xml:space="preserve"> </w:t>
      </w:r>
      <w:r>
        <w:t xml:space="preserve">	</w:t>
      </w:r>
      <w:r>
        <w:t xml:space="preserve">Kalinin, S.V.; Ghosh, A.; Vasudevan, R.; Ziatdinov, M. From Atomically Resolved Imaging to Generative and Causal Models.</w:t>
      </w:r>
      <w:r>
        <w:t xml:space="preserve"> </w:t>
      </w:r>
      <w:r>
        <w:rPr>
          <w:i/>
          <w:iCs/>
        </w:rPr>
        <w:t xml:space="preserve">Nature Physics</w:t>
      </w:r>
      <w:r>
        <w:t xml:space="preserve"> </w:t>
      </w:r>
      <w:r>
        <w:rPr>
          <w:b/>
          <w:bCs/>
        </w:rPr>
        <w:t xml:space="preserve">2022</w:t>
      </w:r>
      <w:r>
        <w:t xml:space="preserve">,</w:t>
      </w:r>
      <w:r>
        <w:t xml:space="preserve"> </w:t>
      </w:r>
      <w:r>
        <w:rPr>
          <w:i/>
          <w:iCs/>
        </w:rPr>
        <w:t xml:space="preserve">18</w:t>
      </w:r>
      <w:r>
        <w:t xml:space="preserve">, 1152–1160.</w:t>
      </w:r>
    </w:p>
    <w:bookmarkEnd w:id="95"/>
    <w:bookmarkStart w:id="96" w:name="ref-pollard2026physionet"/>
    <w:p>
      <w:pPr>
        <w:pStyle w:val="MDPI81references"/>
      </w:pPr>
      <w:r>
        <w:t xml:space="preserve">47.</w:t>
      </w:r>
      <w:r>
        <w:t xml:space="preserve"> </w:t>
      </w:r>
      <w:r>
        <w:t xml:space="preserve">	</w:t>
      </w:r>
      <w:r>
        <w:t xml:space="preserve">Pollard, T.; Moody, B.E.; Lehman, L.H.; Gow, B.J.; Fernandes, C.; Xie, C.; Johnson, A.; Mark, R.G.; Heldt, T. PhysioNet as a Global Platform for Biomedical Research.</w:t>
      </w:r>
      <w:r>
        <w:t xml:space="preserve"> </w:t>
      </w:r>
      <w:r>
        <w:rPr>
          <w:i/>
          <w:iCs/>
        </w:rPr>
        <w:t xml:space="preserve">Nature Health</w:t>
      </w:r>
      <w:r>
        <w:t xml:space="preserve"> </w:t>
      </w:r>
      <w:r>
        <w:rPr>
          <w:b/>
          <w:bCs/>
        </w:rPr>
        <w:t xml:space="preserve">2026</w:t>
      </w:r>
      <w:r>
        <w:t xml:space="preserve">, 1–4.</w:t>
      </w:r>
    </w:p>
    <w:bookmarkEnd w:id="96"/>
    <w:bookmarkStart w:id="97" w:name="ref-binois2022survey"/>
    <w:p>
      <w:pPr>
        <w:pStyle w:val="MDPI81references"/>
      </w:pPr>
      <w:r>
        <w:t xml:space="preserve">48.</w:t>
      </w:r>
      <w:r>
        <w:t xml:space="preserve"> </w:t>
      </w:r>
      <w:r>
        <w:t xml:space="preserve">	</w:t>
      </w:r>
      <w:r>
        <w:t xml:space="preserve">Binois, M.; Wycoff, N. A Survey on High-Dimensional Gaussian Process Modeling with Application to Bayesian Optimization.</w:t>
      </w:r>
      <w:r>
        <w:t xml:space="preserve"> </w:t>
      </w:r>
      <w:r>
        <w:rPr>
          <w:i/>
          <w:iCs/>
        </w:rPr>
        <w:t xml:space="preserve">ACM Transactions on Evolutionary Learning and Optimization</w:t>
      </w:r>
      <w:r>
        <w:t xml:space="preserve"> </w:t>
      </w:r>
      <w:r>
        <w:rPr>
          <w:b/>
          <w:bCs/>
        </w:rPr>
        <w:t xml:space="preserve">2022</w:t>
      </w:r>
      <w:r>
        <w:t xml:space="preserve">,</w:t>
      </w:r>
      <w:r>
        <w:t xml:space="preserve"> </w:t>
      </w:r>
      <w:r>
        <w:rPr>
          <w:i/>
          <w:iCs/>
        </w:rPr>
        <w:t xml:space="preserve">2</w:t>
      </w:r>
      <w:r>
        <w:t xml:space="preserve">, 1–26.</w:t>
      </w:r>
    </w:p>
    <w:bookmarkEnd w:id="97"/>
    <w:bookmarkStart w:id="98" w:name="ref-betancourt2015hamiltonian"/>
    <w:p>
      <w:pPr>
        <w:pStyle w:val="MDPI81references"/>
      </w:pPr>
      <w:r>
        <w:t xml:space="preserve">49.</w:t>
      </w:r>
      <w:r>
        <w:t xml:space="preserve"> </w:t>
      </w:r>
      <w:r>
        <w:t xml:space="preserve">	</w:t>
      </w:r>
      <w:r>
        <w:t xml:space="preserve">Betancourt, M.; Girolami, M. Hamiltonian Monte Carlo for Hierarchical Models.</w:t>
      </w:r>
      <w:r>
        <w:t xml:space="preserve"> </w:t>
      </w:r>
      <w:r>
        <w:rPr>
          <w:i/>
          <w:iCs/>
        </w:rPr>
        <w:t xml:space="preserve">Current trends in Bayesian methodology with applications</w:t>
      </w:r>
      <w:r>
        <w:t xml:space="preserve"> </w:t>
      </w:r>
      <w:r>
        <w:rPr>
          <w:b/>
          <w:bCs/>
        </w:rPr>
        <w:t xml:space="preserve">2015</w:t>
      </w:r>
      <w:r>
        <w:t xml:space="preserve">,</w:t>
      </w:r>
      <w:r>
        <w:t xml:space="preserve"> </w:t>
      </w:r>
      <w:r>
        <w:rPr>
          <w:i/>
          <w:iCs/>
        </w:rPr>
        <w:t xml:space="preserve">79</w:t>
      </w:r>
      <w:r>
        <w:t xml:space="preserve">, 2–4.</w:t>
      </w:r>
    </w:p>
    <w:bookmarkEnd w:id="98"/>
    <w:bookmarkEnd w:id="99"/>
    <w:p>
      <w:pPr>
        <w:pStyle w:val="MDPI63notes"/>
      </w:pPr>
      <w:r>
        <w:rPr>
          <w:b/>
          <w:bCs/>
        </w:rPr>
        <w:t xml:space="preserve">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bookmarkEnd w:id="100"/>
    <w:sectPr w:rsidR="00FE226B" w:rsidSect="00B243C8">
      <w:headerReference r:id="rId9" w:type="even"/>
      <w:headerReference r:id="rId11" w:type="default"/>
      <w:footerReference r:id="rId13" w:type="default"/>
      <w:headerReference r:id="rId10" w:type="first"/>
      <w:footerReference r:id="rId12" w:type="first"/>
      <w:type w:val="continuous"/>
      <w:pgSz w:code="9" w:h="16838" w:w="11906"/>
      <w:pgMar w:bottom="907" w:footer="612" w:gutter="0" w:header="720" w:left="720" w:right="720" w:top="1417"/>
      <w:lnNumType w:countBy="1" w:distance="360"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794AF7" w:rsidRDefault="00794AF7" w:rsidP="00794AF7">
    <w:pPr>
      <w:pStyle w:val="Piedepgina"/>
      <w:spacing w:line="240" w:lineRule="auto"/>
      <w:jc w:val="right"/>
    </w:pPr>
    <w:r w:rsidRPr="006176CD">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6D5088" w:rsidP="00210B7A">
    <w:pPr>
      <w:pBdr>
        <w:top w:val="single" w:sz="4" w:space="0" w:color="000000"/>
      </w:pBdr>
      <w:tabs>
        <w:tab w:val="right" w:pos="8844"/>
      </w:tabs>
      <w:adjustRightInd w:val="0"/>
      <w:snapToGrid w:val="0"/>
      <w:spacing w:before="480" w:line="100" w:lineRule="exact"/>
      <w:jc w:val="left"/>
      <w:rPr>
        <w:i/>
        <w:sz w:val="16"/>
        <w:szCs w:val="16"/>
      </w:rPr>
    </w:pPr>
  </w:p>
  <w:p w:rsidR="00904380" w:rsidRPr="00FE6833" w:rsidRDefault="00904380" w:rsidP="00424DBE">
    <w:pPr>
      <w:tabs>
        <w:tab w:val="right" w:pos="10466"/>
      </w:tabs>
      <w:adjustRightInd w:val="0"/>
      <w:snapToGrid w:val="0"/>
      <w:spacing w:line="240" w:lineRule="auto"/>
      <w:rPr>
        <w:sz w:val="16"/>
        <w:szCs w:val="16"/>
      </w:rPr>
    </w:pPr>
    <w:r w:rsidRPr="00FE6833">
      <w:rPr>
        <w:i/>
        <w:sz w:val="16"/>
        <w:szCs w:val="16"/>
      </w:rPr>
      <w:t xml:space="preserve">Technologies </w:t>
    </w:r>
    <w:r w:rsidR="00794AF7">
      <w:rPr>
        <w:b/>
        <w:bCs/>
        <w:iCs/>
        <w:sz w:val="16"/>
        <w:szCs w:val="16"/>
      </w:rPr>
      <w:t>2026</w:t>
    </w:r>
    <w:r w:rsidR="001674FC" w:rsidRPr="00FE6833">
      <w:rPr>
        <w:bCs/>
        <w:iCs/>
        <w:sz w:val="16"/>
        <w:szCs w:val="16"/>
      </w:rPr>
      <w:t>,</w:t>
    </w:r>
    <w:r w:rsidR="007879A0" w:rsidRPr="00FE6833">
      <w:rPr>
        <w:bCs/>
        <w:i/>
        <w:iCs/>
        <w:sz w:val="16"/>
        <w:szCs w:val="16"/>
      </w:rPr>
      <w:t xml:space="preserve"> </w:t>
    </w:r>
    <w:r w:rsidR="00794AF7">
      <w:rPr>
        <w:bCs/>
        <w:i/>
        <w:iCs/>
        <w:sz w:val="16"/>
        <w:szCs w:val="16"/>
      </w:rPr>
      <w:t>14</w:t>
    </w:r>
    <w:r w:rsidR="001674FC" w:rsidRPr="00FE6833">
      <w:rPr>
        <w:bCs/>
        <w:iCs/>
        <w:sz w:val="16"/>
        <w:szCs w:val="16"/>
      </w:rPr>
      <w:t xml:space="preserve">, </w:t>
    </w:r>
    <w:r w:rsidR="007E0760" w:rsidRPr="00FE6833">
      <w:rPr>
        <w:bCs/>
        <w:iCs/>
        <w:sz w:val="16"/>
        <w:szCs w:val="16"/>
      </w:rPr>
      <w:t>x</w:t>
    </w:r>
    <w:r w:rsidR="00424DBE" w:rsidRPr="00FE6833">
      <w:rPr>
        <w:sz w:val="16"/>
        <w:szCs w:val="16"/>
      </w:rPr>
      <w:tab/>
    </w:r>
    <w:r w:rsidR="00794AF7" w:rsidRPr="006176CD">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04380" w:rsidRPr="00FE6833" w:rsidRDefault="00904380" w:rsidP="00904380">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D5088" w:rsidRPr="00FE6833" w:rsidRDefault="00904380" w:rsidP="00424DBE">
    <w:pPr>
      <w:tabs>
        <w:tab w:val="right" w:pos="10466"/>
      </w:tabs>
      <w:adjustRightInd w:val="0"/>
      <w:snapToGrid w:val="0"/>
      <w:spacing w:line="240" w:lineRule="auto"/>
      <w:rPr>
        <w:sz w:val="16"/>
      </w:rPr>
    </w:pPr>
    <w:r w:rsidRPr="00FE6833">
      <w:rPr>
        <w:i/>
        <w:sz w:val="16"/>
      </w:rPr>
      <w:t xml:space="preserve">Technologies </w:t>
    </w:r>
    <w:r w:rsidR="00794AF7">
      <w:rPr>
        <w:b/>
        <w:sz w:val="16"/>
      </w:rPr>
      <w:t>2026</w:t>
    </w:r>
    <w:r w:rsidR="001674FC" w:rsidRPr="00FE6833">
      <w:rPr>
        <w:sz w:val="16"/>
      </w:rPr>
      <w:t>,</w:t>
    </w:r>
    <w:r w:rsidR="007879A0" w:rsidRPr="00FE6833">
      <w:rPr>
        <w:i/>
        <w:sz w:val="16"/>
      </w:rPr>
      <w:t xml:space="preserve"> </w:t>
    </w:r>
    <w:r w:rsidR="00794AF7">
      <w:rPr>
        <w:i/>
        <w:sz w:val="16"/>
      </w:rPr>
      <w:t>14</w:t>
    </w:r>
    <w:r w:rsidR="007E0760" w:rsidRPr="00FE6833">
      <w:rPr>
        <w:sz w:val="16"/>
      </w:rPr>
      <w:t xml:space="preserve">, x </w:t>
    </w:r>
    <w:r w:rsidR="007879A0" w:rsidRPr="00FE6833">
      <w:rPr>
        <w:sz w:val="16"/>
      </w:rPr>
      <w:t>FOR PEER REVIEW</w:t>
    </w:r>
    <w:r w:rsidR="007879A0" w:rsidRPr="00FE6833">
      <w:rPr>
        <w:sz w:val="16"/>
      </w:rPr>
      <w:ptab w:relativeTo="margin" w:alignment="right" w:leader="none"/>
    </w:r>
    <w:r w:rsidR="007879A0" w:rsidRPr="00FE6833">
      <w:rPr>
        <w:sz w:val="16"/>
      </w:rPr>
      <w:fldChar w:fldCharType="begin"/>
    </w:r>
    <w:r w:rsidR="007879A0" w:rsidRPr="00FE6833">
      <w:rPr>
        <w:sz w:val="16"/>
      </w:rPr>
      <w:instrText xml:space="preserve"> PAGE   \* MERGEFORMAT </w:instrText>
    </w:r>
    <w:r w:rsidR="007879A0" w:rsidRPr="00FE6833">
      <w:rPr>
        <w:sz w:val="16"/>
      </w:rPr>
      <w:fldChar w:fldCharType="separate"/>
    </w:r>
    <w:r w:rsidR="007879A0" w:rsidRPr="00FE6833">
      <w:rPr>
        <w:sz w:val="16"/>
      </w:rPr>
      <w:t>2</w:t>
    </w:r>
    <w:r w:rsidR="007879A0" w:rsidRPr="00FE6833">
      <w:rPr>
        <w:sz w:val="16"/>
      </w:rPr>
      <w:fldChar w:fldCharType="end"/>
    </w:r>
    <w:r w:rsidR="007879A0" w:rsidRPr="00FE6833">
      <w:rPr>
        <w:sz w:val="16"/>
      </w:rPr>
      <w:t xml:space="preserve"> of </w:t>
    </w:r>
    <w:r w:rsidR="007879A0" w:rsidRPr="00FE6833">
      <w:rPr>
        <w:sz w:val="16"/>
      </w:rPr>
      <w:fldChar w:fldCharType="begin"/>
    </w:r>
    <w:r w:rsidR="007879A0" w:rsidRPr="00FE6833">
      <w:rPr>
        <w:sz w:val="16"/>
      </w:rPr>
      <w:instrText xml:space="preserve"> NUMPAGES   \* MERGEFORMAT </w:instrText>
    </w:r>
    <w:r w:rsidR="007879A0" w:rsidRPr="00FE6833">
      <w:rPr>
        <w:sz w:val="16"/>
      </w:rPr>
      <w:fldChar w:fldCharType="separate"/>
    </w:r>
    <w:r w:rsidR="007879A0" w:rsidRPr="00FE6833">
      <w:rPr>
        <w:sz w:val="16"/>
      </w:rPr>
      <w:t>7</w:t>
    </w:r>
    <w:r w:rsidR="007879A0" w:rsidRPr="00FE6833">
      <w:rPr>
        <w:sz w:val="16"/>
      </w:rPr>
      <w:fldChar w:fldCharType="end"/>
    </w:r>
  </w:p>
  <w:p w:rsidR="00904380" w:rsidRPr="00FE6833" w:rsidRDefault="00904380" w:rsidP="00210B7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6D5088" w:rsidRPr="00FE6833" w:rsidTr="00B66D9B">
      <w:trPr>
        <w:trHeight w:val="686"/>
      </w:trPr>
      <w:tc>
        <w:tcPr>
          <w:tcW w:w="3679" w:type="dxa"/>
          <w:vAlign w:val="center"/>
        </w:tcPr>
        <w:p w:rsidR="006D5088" w:rsidRPr="00FE6833" w:rsidRDefault="00AA7D67" w:rsidP="00424DBE">
          <w:pPr>
            <w:pStyle w:val="Encabezado"/>
            <w:pBdr>
              <w:bottom w:val="none" w:sz="0" w:space="0" w:color="auto"/>
            </w:pBdr>
            <w:jc w:val="left"/>
            <w:rPr>
              <w:rFonts w:eastAsia="DengXian"/>
              <w:b/>
              <w:bCs/>
            </w:rPr>
          </w:pPr>
          <w:r w:rsidRPr="00FE6833">
            <w:rPr>
              <w:rFonts w:eastAsia="DengXian"/>
              <w:b/>
              <w:bCs/>
              <w:noProof/>
            </w:rPr>
            <w:drawing>
              <wp:inline distT="0" distB="0" distL="0" distR="0" wp14:anchorId="42924195" wp14:editId="6F932329">
                <wp:extent cx="1661070" cy="432000"/>
                <wp:effectExtent l="0" t="0" r="0" b="6350"/>
                <wp:docPr id="170984480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44808" name=""/>
                        <pic:cNvPicPr/>
                      </pic:nvPicPr>
                      <pic:blipFill>
                        <a:blip r:embed="rId1"/>
                        <a:stretch>
                          <a:fillRect/>
                        </a:stretch>
                      </pic:blipFill>
                      <pic:spPr>
                        <a:xfrm>
                          <a:off x="0" y="0"/>
                          <a:ext cx="1661070" cy="432000"/>
                        </a:xfrm>
                        <a:prstGeom prst="rect">
                          <a:avLst/>
                        </a:prstGeom>
                      </pic:spPr>
                    </pic:pic>
                  </a:graphicData>
                </a:graphic>
              </wp:inline>
            </w:drawing>
          </w:r>
        </w:p>
      </w:tc>
      <w:tc>
        <w:tcPr>
          <w:tcW w:w="4535" w:type="dxa"/>
          <w:vAlign w:val="center"/>
        </w:tcPr>
        <w:p w:rsidR="006D5088" w:rsidRPr="00FE6833" w:rsidRDefault="006D5088" w:rsidP="00424DBE">
          <w:pPr>
            <w:pStyle w:val="Encabezado"/>
            <w:pBdr>
              <w:bottom w:val="none" w:sz="0" w:space="0" w:color="auto"/>
            </w:pBdr>
            <w:rPr>
              <w:rFonts w:eastAsia="DengXian"/>
              <w:b/>
              <w:bCs/>
            </w:rPr>
          </w:pPr>
        </w:p>
      </w:tc>
      <w:tc>
        <w:tcPr>
          <w:tcW w:w="2273" w:type="dxa"/>
          <w:vAlign w:val="center"/>
        </w:tcPr>
        <w:p w:rsidR="006D5088" w:rsidRPr="00FE6833" w:rsidRDefault="00B66D9B" w:rsidP="00B66D9B">
          <w:pPr>
            <w:pStyle w:val="Encabezado"/>
            <w:pBdr>
              <w:bottom w:val="none" w:sz="0" w:space="0" w:color="auto"/>
            </w:pBdr>
            <w:jc w:val="right"/>
            <w:rPr>
              <w:rFonts w:eastAsia="DengXian"/>
              <w:b/>
              <w:bCs/>
            </w:rPr>
          </w:pPr>
          <w:r w:rsidRPr="00FE6833">
            <w:rPr>
              <w:rFonts w:eastAsia="DengXian"/>
              <w:b/>
              <w:bCs/>
              <w:noProof/>
            </w:rPr>
            <w:drawing>
              <wp:inline distT="0" distB="0" distL="0" distR="0" wp14:anchorId="770393CD" wp14:editId="49A0BC99">
                <wp:extent cx="540000" cy="360000"/>
                <wp:effectExtent l="0" t="0" r="0" b="2540"/>
                <wp:docPr id="985508423" name="Imagen 7"/>
                <wp:cNvGraphicFramePr/>
                <a:graphic xmlns:a="http://schemas.openxmlformats.org/drawingml/2006/main">
                  <a:graphicData uri="http://schemas.openxmlformats.org/drawingml/2006/picture">
                    <pic:pic xmlns:pic="http://schemas.openxmlformats.org/drawingml/2006/picture">
                      <pic:nvPicPr>
                        <pic:cNvPr id="985508423" name=""/>
                        <pic:cNvPicPr/>
                      </pic:nvPicPr>
                      <pic:blipFill>
                        <a:blip r:embed="rId2"/>
                        <a:stretch>
                          <a:fillRect/>
                        </a:stretch>
                      </pic:blipFill>
                      <pic:spPr>
                        <a:xfrm>
                          <a:off x="0" y="0"/>
                          <a:ext cx="540000" cy="360000"/>
                        </a:xfrm>
                        <a:prstGeom prst="rect">
                          <a:avLst/>
                        </a:prstGeom>
                      </pic:spPr>
                    </pic:pic>
                  </a:graphicData>
                </a:graphic>
              </wp:inline>
            </w:drawing>
          </w:r>
        </w:p>
      </w:tc>
    </w:tr>
  </w:tbl>
  <w:p w:rsidR="00904380" w:rsidRPr="00FE6833" w:rsidRDefault="00904380" w:rsidP="007879A0">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3EB4FF0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60DC5B6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FD8CEA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2B548F3C"/>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96BC16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8D683DF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E3DE3B3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FE884EE0"/>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733E9CF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83E4F2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E8478D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A3F446D"/>
    <w:multiLevelType w:val="hybridMultilevel"/>
    <w:tmpl w:val="EDE4E4F0"/>
    <w:lvl w:ilvl="0" w:tplc="9E6C3894">
      <w:start w:val="1"/>
      <w:numFmt w:val="decimal"/>
      <w:lvlRestart w:val="0"/>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
    <w:nsid w:val="0B5F6105"/>
    <w:multiLevelType w:val="hybridMultilevel"/>
    <w:tmpl w:val="1CFC53EC"/>
    <w:lvl w:ilvl="0" w:tplc="607E550A">
      <w:start w:val="1"/>
      <w:numFmt w:val="decimal"/>
      <w:lvlRestart w:val="0"/>
      <w:pStyle w:val="MDPI71footnotes"/>
      <w:lvlText w:val="%1."/>
      <w:lvlJc w:val="left"/>
      <w:pPr>
        <w:ind w:hanging="425" w:left="425"/>
      </w:pPr>
      <w:rPr>
        <w:rFonts w:hint="default"/>
        <w:b w:val="0"/>
        <w:i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C7635B3"/>
    <w:multiLevelType w:val="hybridMultilevel"/>
    <w:tmpl w:val="298E9D76"/>
    <w:lvl w:ilvl="0" w:tplc="A70E5A0E">
      <w:start w:val="1"/>
      <w:numFmt w:val="decimal"/>
      <w:lvlRestart w:val="0"/>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14">
    <w:nsid w:val="18B468F5"/>
    <w:multiLevelType w:val="hybridMultilevel"/>
    <w:tmpl w:val="8076C5BE"/>
    <w:lvl w:ilvl="0" w:tplc="D738200E">
      <w:start w:val="1"/>
      <w:numFmt w:val="decimal"/>
      <w:lvlRestart w:val="0"/>
      <w:lvlText w:val="%1."/>
      <w:lvlJc w:val="left"/>
      <w:pPr>
        <w:ind w:hanging="425" w:left="425"/>
      </w:pPr>
      <w:rPr>
        <w:b w:val="0"/>
        <w:i w:val="0"/>
        <w:sz w:val="18"/>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5">
    <w:nsid w:val="1E0C6F5D"/>
    <w:multiLevelType w:val="hybridMultilevel"/>
    <w:tmpl w:val="A05EACF6"/>
    <w:lvl w:ilvl="0" w:tplc="A4BEB022">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6">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7">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18">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9">
    <w:nsid w:val="2F2C729B"/>
    <w:multiLevelType w:val="multilevel"/>
    <w:tmpl w:val="8076C5BE"/>
    <w:styleLink w:val="Listaactual1"/>
    <w:lvl w:ilvl="0">
      <w:start w:val="1"/>
      <w:numFmt w:val="decimal"/>
      <w:lvlRestart w:val="0"/>
      <w:lvlText w:val="%1."/>
      <w:lvlJc w:val="left"/>
      <w:pPr>
        <w:ind w:hanging="425" w:left="425"/>
      </w:pPr>
      <w:rPr>
        <w:b w:val="0"/>
        <w:i w:val="0"/>
        <w:sz w:val="18"/>
        <w:vertAlign w:val="baselin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20">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21">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54075B53"/>
    <w:multiLevelType w:val="hybridMultilevel"/>
    <w:tmpl w:val="B342940C"/>
    <w:lvl w:ilvl="0" w:tplc="8520ABF4">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23">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7ADA5288"/>
    <w:multiLevelType w:val="hybridMultilevel"/>
    <w:tmpl w:val="E4B6D30A"/>
    <w:lvl w:ilvl="0" w:tplc="6966E76E">
      <w:start w:val="1"/>
      <w:numFmt w:val="decimal"/>
      <w:lvlRestart w:val="0"/>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44847027" w:numId="1">
    <w:abstractNumId w:val="17"/>
  </w:num>
  <w:num w16cid:durableId="1293444290" w:numId="2">
    <w:abstractNumId w:val="20"/>
  </w:num>
  <w:num w16cid:durableId="223492256" w:numId="3">
    <w:abstractNumId w:val="16"/>
  </w:num>
  <w:num w16cid:durableId="927886855" w:numId="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54631423" w:numId="5">
    <w:abstractNumId w:val="18"/>
  </w:num>
  <w:num w16cid:durableId="731000998" w:numId="6">
    <w:abstractNumId w:val="22"/>
  </w:num>
  <w:num w16cid:durableId="468016191" w:numId="7">
    <w:abstractNumId w:val="15"/>
  </w:num>
  <w:num w16cid:durableId="560749259" w:numId="8">
    <w:abstractNumId w:val="22"/>
  </w:num>
  <w:num w16cid:durableId="449670991" w:numId="9">
    <w:abstractNumId w:val="15"/>
  </w:num>
  <w:num w16cid:durableId="555436948" w:numId="10">
    <w:abstractNumId w:val="22"/>
  </w:num>
  <w:num w16cid:durableId="520242254" w:numId="11">
    <w:abstractNumId w:val="15"/>
  </w:num>
  <w:num w16cid:durableId="299385161" w:numId="12">
    <w:abstractNumId w:val="23"/>
  </w:num>
  <w:num w16cid:durableId="1761949715" w:numId="13">
    <w:abstractNumId w:val="22"/>
  </w:num>
  <w:num w16cid:durableId="1027372886" w:numId="14">
    <w:abstractNumId w:val="15"/>
  </w:num>
  <w:num w16cid:durableId="1485973552" w:numId="15">
    <w:abstractNumId w:val="14"/>
  </w:num>
  <w:num w16cid:durableId="982273655" w:numId="16">
    <w:abstractNumId w:val="21"/>
  </w:num>
  <w:num w16cid:durableId="2128960605" w:numId="17">
    <w:abstractNumId w:val="11"/>
  </w:num>
  <w:num w16cid:durableId="1973628235" w:numId="18">
    <w:abstractNumId w:val="22"/>
  </w:num>
  <w:num w16cid:durableId="1317301625" w:numId="19">
    <w:abstractNumId w:val="15"/>
  </w:num>
  <w:num w16cid:durableId="1856533996" w:numId="20">
    <w:abstractNumId w:val="14"/>
  </w:num>
  <w:num w16cid:durableId="198586741" w:numId="21">
    <w:abstractNumId w:val="11"/>
  </w:num>
  <w:num w16cid:durableId="698239466" w:numId="22">
    <w:abstractNumId w:val="13"/>
  </w:num>
  <w:num w16cid:durableId="2022778572" w:numId="23">
    <w:abstractNumId w:val="24"/>
  </w:num>
  <w:num w16cid:durableId="793788623" w:numId="24">
    <w:abstractNumId w:val="4"/>
  </w:num>
  <w:num w16cid:durableId="836308371" w:numId="25">
    <w:abstractNumId w:val="5"/>
  </w:num>
  <w:num w16cid:durableId="715277104" w:numId="26">
    <w:abstractNumId w:val="6"/>
  </w:num>
  <w:num w16cid:durableId="1817529515" w:numId="27">
    <w:abstractNumId w:val="7"/>
  </w:num>
  <w:num w16cid:durableId="910846817" w:numId="28">
    <w:abstractNumId w:val="9"/>
  </w:num>
  <w:num w16cid:durableId="410935302" w:numId="29">
    <w:abstractNumId w:val="0"/>
  </w:num>
  <w:num w16cid:durableId="1894845640" w:numId="30">
    <w:abstractNumId w:val="1"/>
  </w:num>
  <w:num w16cid:durableId="1913272733" w:numId="31">
    <w:abstractNumId w:val="2"/>
  </w:num>
  <w:num w16cid:durableId="1705473156" w:numId="32">
    <w:abstractNumId w:val="3"/>
  </w:num>
  <w:num w16cid:durableId="325860866" w:numId="33">
    <w:abstractNumId w:val="8"/>
  </w:num>
  <w:num w16cid:durableId="2053381483" w:numId="34">
    <w:abstractNumId w:val="10"/>
  </w:num>
  <w:num w16cid:durableId="515271418" w:numId="35">
    <w:abstractNumId w:val="22"/>
  </w:num>
  <w:num w16cid:durableId="1336690752" w:numId="36">
    <w:abstractNumId w:val="15"/>
  </w:num>
  <w:num w16cid:durableId="2013138831" w:numId="37">
    <w:abstractNumId w:val="12"/>
  </w:num>
  <w:num w16cid:durableId="153182717" w:numId="38">
    <w:abstractNumId w:val="14"/>
  </w:num>
  <w:num w16cid:durableId="860902053" w:numId="39">
    <w:abstractNumId w:val="10"/>
  </w:num>
  <w:num w16cid:durableId="1819416260" w:numId="40">
    <w:abstractNumId w:val="19"/>
  </w:num>
  <w:num w16cid:durableId="1386372055" w:numId="4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9"/>
  <w:embedSystemFonts/>
  <w:bordersDoNotSurroundHeader/>
  <w:bordersDoNotSurroundFooter/>
  <w:proofState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98E"/>
    <w:rsid w:val="00005FEE"/>
    <w:rsid w:val="0001168B"/>
    <w:rsid w:val="00016B80"/>
    <w:rsid w:val="000237D9"/>
    <w:rsid w:val="00065FF1"/>
    <w:rsid w:val="00073A8C"/>
    <w:rsid w:val="00085F24"/>
    <w:rsid w:val="000A0531"/>
    <w:rsid w:val="000A58D4"/>
    <w:rsid w:val="000C62F2"/>
    <w:rsid w:val="000C70E2"/>
    <w:rsid w:val="000F00DB"/>
    <w:rsid w:val="000F69ED"/>
    <w:rsid w:val="00121D53"/>
    <w:rsid w:val="001221AF"/>
    <w:rsid w:val="00125877"/>
    <w:rsid w:val="00125E5C"/>
    <w:rsid w:val="00130F2C"/>
    <w:rsid w:val="001464B0"/>
    <w:rsid w:val="00153124"/>
    <w:rsid w:val="001674FC"/>
    <w:rsid w:val="00167ABE"/>
    <w:rsid w:val="00175841"/>
    <w:rsid w:val="00177B28"/>
    <w:rsid w:val="001A0728"/>
    <w:rsid w:val="001B2769"/>
    <w:rsid w:val="001B2AAA"/>
    <w:rsid w:val="001B79CD"/>
    <w:rsid w:val="001C22E2"/>
    <w:rsid w:val="001C6B47"/>
    <w:rsid w:val="001D5103"/>
    <w:rsid w:val="001D7BC0"/>
    <w:rsid w:val="001E1295"/>
    <w:rsid w:val="001E2AEB"/>
    <w:rsid w:val="001F0243"/>
    <w:rsid w:val="001F3464"/>
    <w:rsid w:val="00202534"/>
    <w:rsid w:val="00210B7A"/>
    <w:rsid w:val="00222200"/>
    <w:rsid w:val="00232AA3"/>
    <w:rsid w:val="00245BE0"/>
    <w:rsid w:val="00253A63"/>
    <w:rsid w:val="00275697"/>
    <w:rsid w:val="00283DB7"/>
    <w:rsid w:val="00295161"/>
    <w:rsid w:val="002A1D52"/>
    <w:rsid w:val="002A3E19"/>
    <w:rsid w:val="002B3222"/>
    <w:rsid w:val="002B388F"/>
    <w:rsid w:val="002E1D2F"/>
    <w:rsid w:val="002F1965"/>
    <w:rsid w:val="002F57DE"/>
    <w:rsid w:val="00315F08"/>
    <w:rsid w:val="00322905"/>
    <w:rsid w:val="00326141"/>
    <w:rsid w:val="00334FDD"/>
    <w:rsid w:val="0035670A"/>
    <w:rsid w:val="00360BE0"/>
    <w:rsid w:val="00380940"/>
    <w:rsid w:val="003817FD"/>
    <w:rsid w:val="003A4334"/>
    <w:rsid w:val="003A4D97"/>
    <w:rsid w:val="003A6B74"/>
    <w:rsid w:val="003C1B83"/>
    <w:rsid w:val="003D5A46"/>
    <w:rsid w:val="003E3EEF"/>
    <w:rsid w:val="00401D30"/>
    <w:rsid w:val="004175A4"/>
    <w:rsid w:val="00424DBE"/>
    <w:rsid w:val="0043010E"/>
    <w:rsid w:val="00442B7D"/>
    <w:rsid w:val="00444C25"/>
    <w:rsid w:val="00450BD3"/>
    <w:rsid w:val="00454A4A"/>
    <w:rsid w:val="00455532"/>
    <w:rsid w:val="00455A38"/>
    <w:rsid w:val="00486491"/>
    <w:rsid w:val="00491B44"/>
    <w:rsid w:val="00493505"/>
    <w:rsid w:val="00495875"/>
    <w:rsid w:val="004966A7"/>
    <w:rsid w:val="004A01BB"/>
    <w:rsid w:val="004B098E"/>
    <w:rsid w:val="004B182D"/>
    <w:rsid w:val="004C7DBB"/>
    <w:rsid w:val="004D1F9D"/>
    <w:rsid w:val="004E1258"/>
    <w:rsid w:val="004E77CE"/>
    <w:rsid w:val="00507625"/>
    <w:rsid w:val="00510B64"/>
    <w:rsid w:val="005172E6"/>
    <w:rsid w:val="00540446"/>
    <w:rsid w:val="00545B32"/>
    <w:rsid w:val="005462B3"/>
    <w:rsid w:val="00551E62"/>
    <w:rsid w:val="005642E1"/>
    <w:rsid w:val="00567EA8"/>
    <w:rsid w:val="00585171"/>
    <w:rsid w:val="005B3629"/>
    <w:rsid w:val="005B3B7D"/>
    <w:rsid w:val="005C017A"/>
    <w:rsid w:val="005C11CF"/>
    <w:rsid w:val="005C65F6"/>
    <w:rsid w:val="005E5829"/>
    <w:rsid w:val="006037F0"/>
    <w:rsid w:val="0061035C"/>
    <w:rsid w:val="00616CE7"/>
    <w:rsid w:val="006176CD"/>
    <w:rsid w:val="00621E2B"/>
    <w:rsid w:val="00624C4E"/>
    <w:rsid w:val="00631EF0"/>
    <w:rsid w:val="00643839"/>
    <w:rsid w:val="00662871"/>
    <w:rsid w:val="00675469"/>
    <w:rsid w:val="00677ABA"/>
    <w:rsid w:val="0068373D"/>
    <w:rsid w:val="00692393"/>
    <w:rsid w:val="006D5088"/>
    <w:rsid w:val="006E531A"/>
    <w:rsid w:val="006F24A0"/>
    <w:rsid w:val="006F41EF"/>
    <w:rsid w:val="00727630"/>
    <w:rsid w:val="007313B2"/>
    <w:rsid w:val="00741466"/>
    <w:rsid w:val="00746D7A"/>
    <w:rsid w:val="00752881"/>
    <w:rsid w:val="00753D8D"/>
    <w:rsid w:val="0076135C"/>
    <w:rsid w:val="007620B4"/>
    <w:rsid w:val="00765162"/>
    <w:rsid w:val="00766EF3"/>
    <w:rsid w:val="00771A1C"/>
    <w:rsid w:val="00774191"/>
    <w:rsid w:val="00774FC0"/>
    <w:rsid w:val="00776F7B"/>
    <w:rsid w:val="00784DD1"/>
    <w:rsid w:val="007879A0"/>
    <w:rsid w:val="00794AF7"/>
    <w:rsid w:val="007965CD"/>
    <w:rsid w:val="007A092E"/>
    <w:rsid w:val="007A25BE"/>
    <w:rsid w:val="007B7B52"/>
    <w:rsid w:val="007D61AC"/>
    <w:rsid w:val="007E0760"/>
    <w:rsid w:val="007E1173"/>
    <w:rsid w:val="007F7AA4"/>
    <w:rsid w:val="00800160"/>
    <w:rsid w:val="00812DBB"/>
    <w:rsid w:val="00817D7D"/>
    <w:rsid w:val="00832756"/>
    <w:rsid w:val="00836E71"/>
    <w:rsid w:val="00841215"/>
    <w:rsid w:val="008419D4"/>
    <w:rsid w:val="00865AC6"/>
    <w:rsid w:val="008673C0"/>
    <w:rsid w:val="0089539B"/>
    <w:rsid w:val="00897811"/>
    <w:rsid w:val="008C354F"/>
    <w:rsid w:val="008E4731"/>
    <w:rsid w:val="00900D49"/>
    <w:rsid w:val="00904380"/>
    <w:rsid w:val="00920F96"/>
    <w:rsid w:val="00925E6F"/>
    <w:rsid w:val="00930043"/>
    <w:rsid w:val="0094390A"/>
    <w:rsid w:val="00947168"/>
    <w:rsid w:val="00955745"/>
    <w:rsid w:val="0097344D"/>
    <w:rsid w:val="00985376"/>
    <w:rsid w:val="009A3E0E"/>
    <w:rsid w:val="009A5415"/>
    <w:rsid w:val="009A6A21"/>
    <w:rsid w:val="009C19E7"/>
    <w:rsid w:val="009C5820"/>
    <w:rsid w:val="009D1C24"/>
    <w:rsid w:val="009F70E6"/>
    <w:rsid w:val="00A14DD7"/>
    <w:rsid w:val="00A26352"/>
    <w:rsid w:val="00A41ABC"/>
    <w:rsid w:val="00A4320B"/>
    <w:rsid w:val="00A45D58"/>
    <w:rsid w:val="00A66C29"/>
    <w:rsid w:val="00AA52B0"/>
    <w:rsid w:val="00AA7D67"/>
    <w:rsid w:val="00AC1D45"/>
    <w:rsid w:val="00AE2782"/>
    <w:rsid w:val="00B10CB7"/>
    <w:rsid w:val="00B124BD"/>
    <w:rsid w:val="00B1396A"/>
    <w:rsid w:val="00B14ECF"/>
    <w:rsid w:val="00B233B5"/>
    <w:rsid w:val="00B243C8"/>
    <w:rsid w:val="00B30732"/>
    <w:rsid w:val="00B33DFA"/>
    <w:rsid w:val="00B41900"/>
    <w:rsid w:val="00B41C69"/>
    <w:rsid w:val="00B63C7F"/>
    <w:rsid w:val="00B66D9B"/>
    <w:rsid w:val="00BA1CA1"/>
    <w:rsid w:val="00BA6C49"/>
    <w:rsid w:val="00BD6842"/>
    <w:rsid w:val="00BE1061"/>
    <w:rsid w:val="00BF6F80"/>
    <w:rsid w:val="00BF714C"/>
    <w:rsid w:val="00C01297"/>
    <w:rsid w:val="00C037BA"/>
    <w:rsid w:val="00C039A3"/>
    <w:rsid w:val="00C20662"/>
    <w:rsid w:val="00C21A01"/>
    <w:rsid w:val="00C3323F"/>
    <w:rsid w:val="00C54E64"/>
    <w:rsid w:val="00C6310B"/>
    <w:rsid w:val="00C6632B"/>
    <w:rsid w:val="00C90686"/>
    <w:rsid w:val="00C94DDE"/>
    <w:rsid w:val="00CA39BC"/>
    <w:rsid w:val="00CC5F55"/>
    <w:rsid w:val="00CE4917"/>
    <w:rsid w:val="00CF2915"/>
    <w:rsid w:val="00CF5308"/>
    <w:rsid w:val="00D4117B"/>
    <w:rsid w:val="00D443AE"/>
    <w:rsid w:val="00D53097"/>
    <w:rsid w:val="00DA1A76"/>
    <w:rsid w:val="00DB4413"/>
    <w:rsid w:val="00DF4C2F"/>
    <w:rsid w:val="00DF6847"/>
    <w:rsid w:val="00E07D65"/>
    <w:rsid w:val="00E11E70"/>
    <w:rsid w:val="00E15FD5"/>
    <w:rsid w:val="00E26068"/>
    <w:rsid w:val="00E360A3"/>
    <w:rsid w:val="00E41FB6"/>
    <w:rsid w:val="00E43598"/>
    <w:rsid w:val="00E55442"/>
    <w:rsid w:val="00E55D19"/>
    <w:rsid w:val="00E67B99"/>
    <w:rsid w:val="00E77000"/>
    <w:rsid w:val="00E83DE1"/>
    <w:rsid w:val="00E8707A"/>
    <w:rsid w:val="00E91F4C"/>
    <w:rsid w:val="00EA2103"/>
    <w:rsid w:val="00EA2AD9"/>
    <w:rsid w:val="00EA3DBF"/>
    <w:rsid w:val="00EB1B2C"/>
    <w:rsid w:val="00EE054B"/>
    <w:rsid w:val="00EE53CC"/>
    <w:rsid w:val="00EF3741"/>
    <w:rsid w:val="00EF44BF"/>
    <w:rsid w:val="00F0342C"/>
    <w:rsid w:val="00F11A40"/>
    <w:rsid w:val="00F34FEE"/>
    <w:rsid w:val="00F44D90"/>
    <w:rsid w:val="00F5159A"/>
    <w:rsid w:val="00F5638C"/>
    <w:rsid w:val="00F80BC6"/>
    <w:rsid w:val="00F81C7E"/>
    <w:rsid w:val="00F96942"/>
    <w:rsid w:val="00FB282D"/>
    <w:rsid w:val="00FC2F46"/>
    <w:rsid w:val="00FE226B"/>
    <w:rsid w:val="00FE6833"/>
    <w:rsid w:val="00FE79F6"/>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SimSun"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0"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0"/>
    <w:lsdException w:name="Plain Table 3" w:uiPriority="0"/>
    <w:lsdException w:name="Plain Table 4" w:uiPriority="0"/>
    <w:lsdException w:name="Plain Table 5" w:uiPriority="0"/>
    <w:lsdException w:name="Grid Table Light" w:uiPriority="0"/>
    <w:lsdException w:name="Grid Table 1 Light" w:uiPriority="0"/>
    <w:lsdException w:name="Grid Table 2" w:uiPriority="0"/>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E3EEF"/>
    <w:pPr>
      <w:spacing w:line="280" w:lineRule="atLeast"/>
      <w:jc w:val="both"/>
    </w:pPr>
    <w:rPr>
      <w:rFonts w:ascii="Palatino Linotype" w:hAnsi="Palatino Linotype"/>
      <w:color w:val="000000"/>
    </w:rPr>
  </w:style>
  <w:style w:styleId="Ttulo1" w:type="paragraph">
    <w:name w:val="heading 1"/>
    <w:basedOn w:val="Normal"/>
    <w:next w:val="Textoindependiente"/>
    <w:link w:val="Ttulo1Car"/>
    <w:uiPriority w:val="9"/>
    <w:qFormat/>
    <w:rsid w:val="004B098E"/>
    <w:pPr>
      <w:keepNext/>
      <w:keepLines/>
      <w:spacing w:before="480" w:line="360" w:lineRule="auto"/>
      <w:outlineLvl w:val="0"/>
    </w:pPr>
    <w:rPr>
      <w:rFonts w:ascii="Times New Roman" w:cstheme="majorBidi" w:eastAsiaTheme="majorEastAsia" w:hAnsi="Times New Roman"/>
      <w:b/>
      <w:bCs/>
      <w:color w:val="auto"/>
      <w:sz w:val="32"/>
      <w:szCs w:val="32"/>
      <w:lang w:eastAsia="en-US"/>
    </w:rPr>
  </w:style>
  <w:style w:styleId="Ttulo2" w:type="paragraph">
    <w:name w:val="heading 2"/>
    <w:basedOn w:val="Normal"/>
    <w:next w:val="Textoindependiente"/>
    <w:link w:val="Ttulo2Car"/>
    <w:uiPriority w:val="9"/>
    <w:unhideWhenUsed/>
    <w:qFormat/>
    <w:rsid w:val="004B098E"/>
    <w:pPr>
      <w:keepNext/>
      <w:keepLines/>
      <w:spacing w:before="200" w:line="360" w:lineRule="auto"/>
      <w:outlineLvl w:val="1"/>
    </w:pPr>
    <w:rPr>
      <w:rFonts w:ascii="Times New Roman" w:cstheme="majorBidi" w:eastAsiaTheme="majorEastAsia" w:hAnsi="Times New Roman"/>
      <w:b/>
      <w:bCs/>
      <w:color w:val="auto"/>
      <w:sz w:val="28"/>
      <w:szCs w:val="28"/>
      <w:lang w:eastAsia="en-US"/>
    </w:rPr>
  </w:style>
  <w:style w:styleId="Ttulo3" w:type="paragraph">
    <w:name w:val="heading 3"/>
    <w:basedOn w:val="Normal"/>
    <w:next w:val="Textoindependiente"/>
    <w:link w:val="Ttulo3Car"/>
    <w:uiPriority w:val="9"/>
    <w:unhideWhenUsed/>
    <w:qFormat/>
    <w:rsid w:val="004B098E"/>
    <w:pPr>
      <w:keepNext/>
      <w:keepLines/>
      <w:spacing w:before="200" w:line="360" w:lineRule="auto"/>
      <w:outlineLvl w:val="2"/>
    </w:pPr>
    <w:rPr>
      <w:rFonts w:ascii="Times New Roman" w:cstheme="majorBidi" w:eastAsiaTheme="majorEastAsia" w:hAnsi="Times New Roman"/>
      <w:b/>
      <w:bCs/>
      <w:i/>
      <w:color w:val="auto"/>
      <w:sz w:val="24"/>
      <w:szCs w:val="24"/>
      <w:lang w:eastAsia="en-US"/>
    </w:rPr>
  </w:style>
  <w:style w:styleId="Ttulo4" w:type="paragraph">
    <w:name w:val="heading 4"/>
    <w:basedOn w:val="Normal"/>
    <w:next w:val="Textoindependiente"/>
    <w:link w:val="Ttulo4Car"/>
    <w:uiPriority w:val="9"/>
    <w:unhideWhenUsed/>
    <w:qFormat/>
    <w:rsid w:val="004B098E"/>
    <w:pPr>
      <w:keepNext/>
      <w:keepLines/>
      <w:spacing w:before="200" w:line="360" w:lineRule="auto"/>
      <w:outlineLvl w:val="3"/>
    </w:pPr>
    <w:rPr>
      <w:rFonts w:ascii="Times New Roman" w:cstheme="majorBidi" w:eastAsiaTheme="majorEastAsia" w:hAnsi="Times New Roman"/>
      <w:bCs/>
      <w:i/>
      <w:color w:val="auto"/>
      <w:sz w:val="24"/>
      <w:szCs w:val="24"/>
      <w:lang w:eastAsia="en-US"/>
    </w:rPr>
  </w:style>
  <w:style w:styleId="Ttulo5" w:type="paragraph">
    <w:name w:val="heading 5"/>
    <w:basedOn w:val="Normal"/>
    <w:next w:val="Textoindependiente"/>
    <w:link w:val="Ttulo5Car"/>
    <w:uiPriority w:val="9"/>
    <w:unhideWhenUsed/>
    <w:qFormat/>
    <w:rsid w:val="004B098E"/>
    <w:pPr>
      <w:keepNext/>
      <w:keepLines/>
      <w:spacing w:before="200" w:line="360" w:lineRule="auto"/>
      <w:outlineLvl w:val="4"/>
    </w:pPr>
    <w:rPr>
      <w:rFonts w:ascii="Times New Roman" w:cstheme="majorBidi" w:eastAsiaTheme="majorEastAsia" w:hAnsi="Times New Roman"/>
      <w:iCs/>
      <w:color w:val="auto"/>
      <w:sz w:val="24"/>
      <w:szCs w:val="24"/>
      <w:lang w:eastAsia="en-US"/>
    </w:rPr>
  </w:style>
  <w:style w:styleId="Ttulo6" w:type="paragraph">
    <w:name w:val="heading 6"/>
    <w:basedOn w:val="Normal"/>
    <w:next w:val="Textoindependiente"/>
    <w:link w:val="Ttulo6Car"/>
    <w:uiPriority w:val="9"/>
    <w:unhideWhenUsed/>
    <w:qFormat/>
    <w:rsid w:val="004B098E"/>
    <w:pPr>
      <w:keepNext/>
      <w:keepLines/>
      <w:spacing w:before="200" w:line="360" w:lineRule="auto"/>
      <w:outlineLvl w:val="5"/>
    </w:pPr>
    <w:rPr>
      <w:rFonts w:ascii="Times New Roman" w:cstheme="majorBidi" w:eastAsiaTheme="majorEastAsia" w:hAnsi="Times New Roman"/>
      <w:color w:val="auto"/>
      <w:sz w:val="24"/>
      <w:szCs w:val="24"/>
      <w:lang w:eastAsia="en-US"/>
    </w:rPr>
  </w:style>
  <w:style w:styleId="Ttulo7" w:type="paragraph">
    <w:name w:val="heading 7"/>
    <w:basedOn w:val="Normal"/>
    <w:next w:val="Textoindependiente"/>
    <w:link w:val="Ttulo7Car"/>
    <w:uiPriority w:val="9"/>
    <w:unhideWhenUsed/>
    <w:qFormat/>
    <w:rsid w:val="004B098E"/>
    <w:pPr>
      <w:keepNext/>
      <w:keepLines/>
      <w:spacing w:before="200" w:line="360" w:lineRule="auto"/>
      <w:outlineLvl w:val="6"/>
    </w:pPr>
    <w:rPr>
      <w:rFonts w:asciiTheme="majorHAnsi" w:cstheme="majorBidi" w:eastAsiaTheme="majorEastAsia" w:hAnsiTheme="majorHAnsi"/>
      <w:color w:themeColor="accent1" w:val="4472C4"/>
      <w:sz w:val="24"/>
      <w:szCs w:val="24"/>
      <w:lang w:eastAsia="en-US"/>
    </w:rPr>
  </w:style>
  <w:style w:styleId="Ttulo8" w:type="paragraph">
    <w:name w:val="heading 8"/>
    <w:basedOn w:val="Normal"/>
    <w:next w:val="Textoindependiente"/>
    <w:link w:val="Ttulo8Car"/>
    <w:uiPriority w:val="9"/>
    <w:unhideWhenUsed/>
    <w:qFormat/>
    <w:rsid w:val="004B098E"/>
    <w:pPr>
      <w:keepNext/>
      <w:keepLines/>
      <w:spacing w:before="200" w:line="360" w:lineRule="auto"/>
      <w:outlineLvl w:val="7"/>
    </w:pPr>
    <w:rPr>
      <w:rFonts w:asciiTheme="majorHAnsi" w:cstheme="majorBidi" w:eastAsiaTheme="majorEastAsia" w:hAnsiTheme="majorHAnsi"/>
      <w:color w:themeColor="accent1" w:val="4472C4"/>
      <w:sz w:val="24"/>
      <w:szCs w:val="24"/>
      <w:lang w:eastAsia="en-US"/>
    </w:rPr>
  </w:style>
  <w:style w:styleId="Ttulo9" w:type="paragraph">
    <w:name w:val="heading 9"/>
    <w:basedOn w:val="Normal"/>
    <w:next w:val="Textoindependiente"/>
    <w:link w:val="Ttulo9Car"/>
    <w:uiPriority w:val="9"/>
    <w:unhideWhenUsed/>
    <w:qFormat/>
    <w:rsid w:val="004B098E"/>
    <w:pPr>
      <w:keepNext/>
      <w:keepLines/>
      <w:spacing w:before="200" w:line="360" w:lineRule="auto"/>
      <w:outlineLvl w:val="8"/>
    </w:pPr>
    <w:rPr>
      <w:rFonts w:asciiTheme="majorHAnsi" w:cstheme="majorBidi" w:eastAsiaTheme="majorEastAsia" w:hAnsiTheme="majorHAnsi"/>
      <w:color w:themeColor="accent1" w:val="4472C4"/>
      <w:sz w:val="24"/>
      <w:szCs w:val="24"/>
      <w:lang w:eastAsia="en-US"/>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MDPI11articletype" w:type="paragraph">
    <w:name w:val="MDPI_1.1_article_type"/>
    <w:next w:val="Normal"/>
    <w:qFormat/>
    <w:rsid w:val="00677ABA"/>
    <w:pPr>
      <w:adjustRightInd w:val="0"/>
      <w:snapToGrid w:val="0"/>
      <w:spacing w:before="240"/>
    </w:pPr>
    <w:rPr>
      <w:rFonts w:ascii="Palatino Linotype" w:eastAsia="Times New Roman" w:hAnsi="Palatino Linotype"/>
      <w:i/>
      <w:snapToGrid w:val="0"/>
      <w:color w:val="000000"/>
      <w:szCs w:val="22"/>
      <w:lang w:bidi="en-US" w:eastAsia="de-DE"/>
      <w14:ligatures w14:val="standardContextual"/>
    </w:rPr>
  </w:style>
  <w:style w:customStyle="1" w:styleId="MDPI12title" w:type="paragraph">
    <w:name w:val="MDPI_1.2_title"/>
    <w:next w:val="Normal"/>
    <w:qFormat/>
    <w:rsid w:val="00677ABA"/>
    <w:pPr>
      <w:adjustRightInd w:val="0"/>
      <w:snapToGrid w:val="0"/>
      <w:spacing w:after="240" w:line="240" w:lineRule="atLeast"/>
    </w:pPr>
    <w:rPr>
      <w:rFonts w:ascii="Palatino Linotype" w:eastAsia="Times New Roman" w:hAnsi="Palatino Linotype"/>
      <w:b/>
      <w:snapToGrid w:val="0"/>
      <w:color w:val="000000"/>
      <w:sz w:val="36"/>
      <w:lang w:bidi="en-US" w:eastAsia="de-DE"/>
      <w14:ligatures w14:val="standardContextual"/>
    </w:rPr>
  </w:style>
  <w:style w:customStyle="1" w:styleId="MDPI13authornames" w:type="paragraph">
    <w:name w:val="MDPI_1.3_authornames"/>
    <w:next w:val="Normal"/>
    <w:qFormat/>
    <w:rsid w:val="00677ABA"/>
    <w:pPr>
      <w:adjustRightInd w:val="0"/>
      <w:snapToGrid w:val="0"/>
      <w:spacing w:after="360" w:line="260" w:lineRule="atLeast"/>
    </w:pPr>
    <w:rPr>
      <w:rFonts w:ascii="Palatino Linotype" w:eastAsia="Times New Roman" w:hAnsi="Palatino Linotype"/>
      <w:b/>
      <w:color w:val="000000"/>
      <w:szCs w:val="22"/>
      <w:lang w:bidi="en-US" w:eastAsia="de-DE"/>
      <w14:ligatures w14:val="standardContextual"/>
    </w:rPr>
  </w:style>
  <w:style w:customStyle="1" w:styleId="MDPI14history" w:type="paragraph">
    <w:name w:val="MDPI_1.4_history"/>
    <w:basedOn w:val="Normal"/>
    <w:next w:val="Normal"/>
    <w:qFormat/>
    <w:rsid w:val="00677ABA"/>
    <w:pPr>
      <w:adjustRightInd w:val="0"/>
      <w:snapToGrid w:val="0"/>
      <w:spacing w:line="240" w:lineRule="atLeast"/>
      <w:ind w:right="113"/>
      <w:jc w:val="left"/>
    </w:pPr>
    <w:rPr>
      <w:rFonts w:eastAsia="Times New Roman"/>
      <w:sz w:val="14"/>
      <w:lang w:bidi="en-US" w:eastAsia="de-DE"/>
      <w14:ligatures w14:val="standardContextual"/>
    </w:rPr>
  </w:style>
  <w:style w:customStyle="1" w:styleId="MDPI16affiliation" w:type="paragraph">
    <w:name w:val="MDPI_1.6_affiliation"/>
    <w:qFormat/>
    <w:rsid w:val="00677ABA"/>
    <w:pPr>
      <w:adjustRightInd w:val="0"/>
      <w:snapToGrid w:val="0"/>
      <w:spacing w:line="200" w:lineRule="atLeast"/>
      <w:ind w:hanging="198" w:left="2806"/>
    </w:pPr>
    <w:rPr>
      <w:rFonts w:ascii="Palatino Linotype" w:eastAsia="Times New Roman" w:hAnsi="Palatino Linotype"/>
      <w:color w:val="000000"/>
      <w:sz w:val="16"/>
      <w:szCs w:val="18"/>
      <w:lang w:bidi="en-US" w:eastAsia="de-DE"/>
      <w14:ligatures w14:val="standardContextual"/>
    </w:rPr>
  </w:style>
  <w:style w:customStyle="1" w:styleId="MDPI17abstract" w:type="paragraph">
    <w:name w:val="MDPI_1.7_abstract"/>
    <w:next w:val="Normal"/>
    <w:qFormat/>
    <w:rsid w:val="00677AB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14:ligatures w14:val="standardContextual"/>
    </w:rPr>
  </w:style>
  <w:style w:customStyle="1" w:styleId="MDPI18keywords" w:type="paragraph">
    <w:name w:val="MDPI_1.8_keywords"/>
    <w:next w:val="Normal"/>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677ABA"/>
    <w:pPr>
      <w:pBdr>
        <w:bottom w:color="auto" w:space="1" w:sz="4"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14:ligatures w14:val="standardContextual"/>
    </w:rPr>
  </w:style>
  <w:style w:customStyle="1" w:styleId="Mdeck5tablebodythreelines" w:type="table">
    <w:name w:val="M_deck_5_table_body_three_lines"/>
    <w:basedOn w:val="Tablanormal"/>
    <w:uiPriority w:val="99"/>
    <w:rsid w:val="00C94DDE"/>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aconcuadrcula" w:type="table">
    <w:name w:val="Table Grid"/>
    <w:basedOn w:val="Tablanormal"/>
    <w:rsid w:val="003E3EE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iedepgina" w:type="paragraph">
    <w:name w:val="footer"/>
    <w:basedOn w:val="Normal"/>
    <w:link w:val="PiedepginaCar"/>
    <w:uiPriority w:val="99"/>
    <w:rsid w:val="003E3EEF"/>
    <w:pPr>
      <w:tabs>
        <w:tab w:pos="4153" w:val="center"/>
        <w:tab w:pos="8306" w:val="right"/>
      </w:tabs>
      <w:snapToGrid w:val="0"/>
      <w:spacing w:line="240" w:lineRule="atLeast"/>
    </w:pPr>
    <w:rPr>
      <w:szCs w:val="18"/>
    </w:rPr>
  </w:style>
  <w:style w:customStyle="1" w:styleId="PiedepginaCar" w:type="character">
    <w:name w:val="Pie de página Car"/>
    <w:link w:val="Piedepgina"/>
    <w:uiPriority w:val="99"/>
    <w:rsid w:val="003E3EEF"/>
    <w:rPr>
      <w:rFonts w:ascii="Palatino Linotype" w:hAnsi="Palatino Linotype"/>
      <w:noProof/>
      <w:color w:val="000000"/>
      <w:szCs w:val="18"/>
    </w:rPr>
  </w:style>
  <w:style w:styleId="Encabezado" w:type="paragraph">
    <w:name w:val="header"/>
    <w:basedOn w:val="Normal"/>
    <w:link w:val="EncabezadoCar"/>
    <w:uiPriority w:val="99"/>
    <w:rsid w:val="003E3EEF"/>
    <w:pPr>
      <w:pBdr>
        <w:bottom w:color="auto" w:space="1" w:sz="6" w:val="single"/>
      </w:pBdr>
      <w:tabs>
        <w:tab w:pos="4153" w:val="center"/>
        <w:tab w:pos="8306" w:val="right"/>
      </w:tabs>
      <w:snapToGrid w:val="0"/>
      <w:spacing w:line="240" w:lineRule="atLeast"/>
      <w:jc w:val="center"/>
    </w:pPr>
    <w:rPr>
      <w:szCs w:val="18"/>
    </w:rPr>
  </w:style>
  <w:style w:customStyle="1" w:styleId="EncabezadoCar" w:type="character">
    <w:name w:val="Encabezado Car"/>
    <w:link w:val="Encabezado"/>
    <w:uiPriority w:val="99"/>
    <w:rsid w:val="003E3EEF"/>
    <w:rPr>
      <w:rFonts w:ascii="Palatino Linotype" w:hAnsi="Palatino Linotype"/>
      <w:noProof/>
      <w:color w:val="000000"/>
      <w:szCs w:val="18"/>
    </w:rPr>
  </w:style>
  <w:style w:customStyle="1" w:styleId="MDPI32textnoindent" w:type="paragraph">
    <w:name w:val="MDPI_3.2_text_no_indent"/>
    <w:basedOn w:val="MDPI31text"/>
    <w:qFormat/>
    <w:rsid w:val="00677ABA"/>
    <w:pPr>
      <w:ind w:firstLine="0"/>
    </w:pPr>
  </w:style>
  <w:style w:customStyle="1" w:styleId="MDPI31text" w:type="paragraph">
    <w:name w:val="MDPI_3.1_text"/>
    <w:qFormat/>
    <w:rsid w:val="00677AB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14:ligatures w14:val="standardContextual"/>
    </w:rPr>
  </w:style>
  <w:style w:customStyle="1" w:styleId="MDPI33textspaceafter" w:type="paragraph">
    <w:name w:val="MDPI_3.3_text_space_after"/>
    <w:qFormat/>
    <w:rsid w:val="00677AB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14:ligatures w14:val="standardContextual"/>
    </w:rPr>
  </w:style>
  <w:style w:customStyle="1" w:styleId="MDPI35textbeforelist" w:type="paragraph">
    <w:name w:val="MDPI_3.5_text_before_list"/>
    <w:qFormat/>
    <w:rsid w:val="00677AB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14:ligatures w14:val="standardContextual"/>
    </w:rPr>
  </w:style>
  <w:style w:customStyle="1" w:styleId="MDPI36textafterlist" w:type="paragraph">
    <w:name w:val="MDPI_3.6_text_after_list"/>
    <w:qFormat/>
    <w:rsid w:val="00677AB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14:ligatures w14:val="standardContextual"/>
    </w:rPr>
  </w:style>
  <w:style w:customStyle="1" w:styleId="MDPI37itemize" w:type="paragraph">
    <w:name w:val="MDPI_3.7_itemize"/>
    <w:qFormat/>
    <w:rsid w:val="00677ABA"/>
    <w:pPr>
      <w:numPr>
        <w:numId w:val="35"/>
      </w:numPr>
      <w:adjustRightInd w:val="0"/>
      <w:snapToGrid w:val="0"/>
      <w:spacing w:line="280" w:lineRule="atLeast"/>
      <w:jc w:val="both"/>
    </w:pPr>
    <w:rPr>
      <w:rFonts w:ascii="Palatino Linotype" w:eastAsia="Times New Roman" w:hAnsi="Palatino Linotype"/>
      <w:color w:val="000000"/>
      <w:szCs w:val="22"/>
      <w:lang w:bidi="en-US" w:eastAsia="de-DE"/>
      <w14:ligatures w14:val="standardContextual"/>
    </w:rPr>
  </w:style>
  <w:style w:customStyle="1" w:styleId="MDPI38bullet" w:type="paragraph">
    <w:name w:val="MDPI_3.8_bullet"/>
    <w:qFormat/>
    <w:rsid w:val="00677ABA"/>
    <w:pPr>
      <w:numPr>
        <w:numId w:val="36"/>
      </w:numPr>
      <w:adjustRightInd w:val="0"/>
      <w:snapToGrid w:val="0"/>
      <w:spacing w:line="280" w:lineRule="atLeast"/>
      <w:jc w:val="both"/>
    </w:pPr>
    <w:rPr>
      <w:rFonts w:ascii="Palatino Linotype" w:eastAsia="Times New Roman" w:hAnsi="Palatino Linotype"/>
      <w:color w:val="000000"/>
      <w:szCs w:val="22"/>
      <w:lang w:bidi="en-US" w:eastAsia="de-DE"/>
      <w14:ligatures w14:val="standardContextual"/>
    </w:rPr>
  </w:style>
  <w:style w:customStyle="1" w:styleId="MDPI39equation" w:type="paragraph">
    <w:name w:val="MDPI_3.9_equation"/>
    <w:qFormat/>
    <w:rsid w:val="00677AB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677AB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677ABA"/>
    <w:pPr>
      <w:adjustRightInd w:val="0"/>
      <w:snapToGrid w:val="0"/>
      <w:spacing w:after="120" w:before="240" w:line="280" w:lineRule="atLeast"/>
      <w:ind w:left="2608"/>
    </w:pPr>
    <w:rPr>
      <w:rFonts w:ascii="Palatino Linotype" w:cstheme="minorBidi" w:eastAsia="Times New Roman" w:hAnsi="Palatino Linotype"/>
      <w:color w:val="000000"/>
      <w:sz w:val="18"/>
      <w:szCs w:val="22"/>
      <w:lang w:bidi="en-US" w:eastAsia="de-DE"/>
      <w14:ligatures w14:val="standardContextual"/>
    </w:rPr>
  </w:style>
  <w:style w:customStyle="1" w:styleId="MDPI42tablebody" w:type="paragraph">
    <w:name w:val="MDPI_4.2_table_body"/>
    <w:qFormat/>
    <w:rsid w:val="00677ABA"/>
    <w:pPr>
      <w:adjustRightInd w:val="0"/>
      <w:snapToGrid w:val="0"/>
      <w:jc w:val="center"/>
    </w:pPr>
    <w:rPr>
      <w:rFonts w:ascii="Palatino Linotype" w:eastAsia="Times New Roman" w:hAnsi="Palatino Linotype"/>
      <w:snapToGrid w:val="0"/>
      <w:color w:val="000000"/>
      <w:lang w:bidi="en-US" w:eastAsia="de-DE"/>
      <w14:ligatures w14:val="standardContextual"/>
    </w:rPr>
  </w:style>
  <w:style w:customStyle="1" w:styleId="MDPI43tablefooter" w:type="paragraph">
    <w:name w:val="MDPI_4.3_table_footer"/>
    <w:next w:val="MDPI31text"/>
    <w:qFormat/>
    <w:rsid w:val="00677ABA"/>
    <w:pPr>
      <w:adjustRightInd w:val="0"/>
      <w:snapToGrid w:val="0"/>
      <w:spacing w:line="280" w:lineRule="atLeast"/>
      <w:ind w:left="2608"/>
    </w:pPr>
    <w:rPr>
      <w:rFonts w:ascii="Palatino Linotype" w:cs="Cordia New" w:eastAsia="Times New Roman" w:hAnsi="Palatino Linotype"/>
      <w:color w:val="000000"/>
      <w:sz w:val="18"/>
      <w:szCs w:val="22"/>
      <w:lang w:bidi="en-US" w:eastAsia="de-DE"/>
      <w14:ligatures w14:val="standardContextual"/>
    </w:rPr>
  </w:style>
  <w:style w:customStyle="1" w:styleId="MDPI51figurecaption" w:type="paragraph">
    <w:name w:val="MDPI_5.1_figure_caption"/>
    <w:qFormat/>
    <w:rsid w:val="00677ABA"/>
    <w:pPr>
      <w:adjustRightInd w:val="0"/>
      <w:snapToGrid w:val="0"/>
      <w:spacing w:after="240" w:before="120" w:line="280" w:lineRule="atLeast"/>
      <w:ind w:left="2608"/>
    </w:pPr>
    <w:rPr>
      <w:rFonts w:ascii="Palatino Linotype" w:eastAsia="Times New Roman" w:hAnsi="Palatino Linotype"/>
      <w:color w:val="000000"/>
      <w:sz w:val="18"/>
      <w:lang w:bidi="en-US" w:eastAsia="de-DE"/>
      <w14:ligatures w14:val="standardContextual"/>
    </w:rPr>
  </w:style>
  <w:style w:customStyle="1" w:styleId="MDPI52figure" w:type="paragraph">
    <w:name w:val="MDPI_5.2_figure"/>
    <w:qFormat/>
    <w:rsid w:val="00677ABA"/>
    <w:pPr>
      <w:adjustRightInd w:val="0"/>
      <w:snapToGrid w:val="0"/>
      <w:spacing w:after="120" w:before="240"/>
      <w:jc w:val="center"/>
    </w:pPr>
    <w:rPr>
      <w:rFonts w:ascii="Palatino Linotype" w:eastAsia="Times New Roman" w:hAnsi="Palatino Linotype"/>
      <w:snapToGrid w:val="0"/>
      <w:color w:val="000000"/>
      <w:lang w:bidi="en-US" w:eastAsia="de-DE"/>
      <w14:ligatures w14:val="standardContextual"/>
    </w:rPr>
  </w:style>
  <w:style w:customStyle="1" w:styleId="MDPI23heading3" w:type="paragraph">
    <w:name w:val="MDPI_2.3_heading3"/>
    <w:qFormat/>
    <w:rsid w:val="00677AB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14:ligatures w14:val="standardContextual"/>
    </w:rPr>
  </w:style>
  <w:style w:customStyle="1" w:styleId="MDPI21heading1" w:type="paragraph">
    <w:name w:val="MDPI_2.1_heading1"/>
    <w:qFormat/>
    <w:rsid w:val="00677AB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14:ligatures w14:val="standardContextual"/>
    </w:rPr>
  </w:style>
  <w:style w:customStyle="1" w:styleId="MDPI22heading2" w:type="paragraph">
    <w:name w:val="MDPI_2.2_heading2"/>
    <w:qFormat/>
    <w:rsid w:val="00677AB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14:ligatures w14:val="standardContextual"/>
    </w:rPr>
  </w:style>
  <w:style w:customStyle="1" w:styleId="MDPI81references" w:type="paragraph">
    <w:name w:val="MDPI_8.1_references"/>
    <w:qFormat/>
    <w:rsid w:val="00C039A3"/>
    <w:pPr>
      <w:adjustRightInd w:val="0"/>
      <w:snapToGrid w:val="0"/>
      <w:spacing w:line="280" w:lineRule="atLeast"/>
      <w:ind w:hanging="510" w:left="510"/>
      <w:jc w:val="both"/>
    </w:pPr>
    <w:rPr>
      <w:rFonts w:ascii="Palatino Linotype" w:eastAsia="Times New Roman" w:hAnsi="Palatino Linotype"/>
      <w:color w:val="000000"/>
      <w:sz w:val="18"/>
      <w:lang w:bidi="en-US" w:eastAsia="de-DE"/>
      <w14:ligatures w14:val="standardContextual"/>
    </w:rPr>
  </w:style>
  <w:style w:styleId="Textodeglobo" w:type="paragraph">
    <w:name w:val="Balloon Text"/>
    <w:basedOn w:val="Normal"/>
    <w:link w:val="TextodegloboCar"/>
    <w:uiPriority w:val="99"/>
    <w:rsid w:val="003E3EEF"/>
    <w:rPr>
      <w:rFonts w:cs="Tahoma"/>
      <w:szCs w:val="18"/>
    </w:rPr>
  </w:style>
  <w:style w:customStyle="1" w:styleId="TextodegloboCar" w:type="character">
    <w:name w:val="Texto de globo Car"/>
    <w:link w:val="Textodeglobo"/>
    <w:uiPriority w:val="99"/>
    <w:rsid w:val="003E3EEF"/>
    <w:rPr>
      <w:rFonts w:ascii="Palatino Linotype" w:cs="Tahoma" w:hAnsi="Palatino Linotype"/>
      <w:noProof/>
      <w:color w:val="000000"/>
      <w:szCs w:val="18"/>
    </w:rPr>
  </w:style>
  <w:style w:styleId="Nmerodelnea" w:type="character">
    <w:name w:val="line number"/>
    <w:rsid w:val="001F0243"/>
    <w:rPr>
      <w:rFonts w:ascii="Palatino Linotype" w:hAnsi="Palatino Linotype"/>
      <w:sz w:val="16"/>
    </w:rPr>
  </w:style>
  <w:style w:customStyle="1" w:styleId="MDPI41threelinetable" w:type="table">
    <w:name w:val="MDPI_4.1_three_line_table"/>
    <w:basedOn w:val="Tablanormal"/>
    <w:uiPriority w:val="99"/>
    <w:rsid w:val="00677ABA"/>
    <w:pPr>
      <w:adjustRightInd w:val="0"/>
      <w:snapToGrid w:val="0"/>
      <w:spacing w:line="280" w:lineRule="atLeast"/>
      <w:jc w:val="center"/>
    </w:pPr>
    <w:rPr>
      <w:rFonts w:ascii="Palatino Linotype" w:eastAsiaTheme="minorEastAsia" w:hAnsi="Palatino Linotype"/>
      <w:color w:val="000000"/>
      <w14:ligatures w14:val="standardContextual"/>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ipervnculo" w:type="character">
    <w:name w:val="Hyperlink"/>
    <w:rsid w:val="003E3EEF"/>
    <w:rPr>
      <w:color w:val="0000FF"/>
      <w:u w:val="single"/>
    </w:rPr>
  </w:style>
  <w:style w:styleId="Mencinsinresolver" w:type="character">
    <w:name w:val="Unresolved Mention"/>
    <w:uiPriority w:val="99"/>
    <w:semiHidden/>
    <w:unhideWhenUsed/>
    <w:rsid w:val="00947168"/>
    <w:rPr>
      <w:color w:val="605E5C"/>
      <w:shd w:color="auto" w:fill="E1DFDD" w:val="clear"/>
    </w:rPr>
  </w:style>
  <w:style w:styleId="Tablanormal4" w:type="table">
    <w:name w:val="Plain Table 4"/>
    <w:basedOn w:val="Tablanormal"/>
    <w:rsid w:val="001674F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677AB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14:ligatures w14:val="standardContextual"/>
    </w:rPr>
  </w:style>
  <w:style w:customStyle="1" w:styleId="MDPI82theorem" w:type="paragraph">
    <w:name w:val="MDPI_8.2_theorem"/>
    <w:qFormat/>
    <w:rsid w:val="00677AB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14:ligatures w14:val="standardContextual"/>
    </w:rPr>
  </w:style>
  <w:style w:customStyle="1" w:styleId="MDPI83proof" w:type="paragraph">
    <w:name w:val="MDPI_8.3_proof"/>
    <w:qFormat/>
    <w:rsid w:val="00677AB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14:ligatures w14:val="standardContextual"/>
    </w:rPr>
  </w:style>
  <w:style w:customStyle="1" w:styleId="MDPI61citation" w:type="paragraph">
    <w:name w:val="MDPI_6.1_citation"/>
    <w:qFormat/>
    <w:rsid w:val="00677ABA"/>
    <w:pPr>
      <w:adjustRightInd w:val="0"/>
      <w:snapToGrid w:val="0"/>
      <w:spacing w:after="120" w:line="240" w:lineRule="atLeast"/>
      <w:ind w:right="113"/>
    </w:pPr>
    <w:rPr>
      <w:rFonts w:ascii="Palatino Linotype" w:cs="Cordia New" w:hAnsi="Palatino Linotype"/>
      <w:sz w:val="14"/>
      <w:szCs w:val="22"/>
      <w14:ligatures w14:val="standardContextual"/>
    </w:rPr>
  </w:style>
  <w:style w:customStyle="1" w:styleId="MDPI62backmatter" w:type="paragraph">
    <w:name w:val="MDPI_6.2_back_matter"/>
    <w:qFormat/>
    <w:rsid w:val="00677ABA"/>
    <w:pPr>
      <w:adjustRightInd w:val="0"/>
      <w:snapToGrid w:val="0"/>
      <w:spacing w:after="120" w:line="280" w:lineRule="atLeast"/>
      <w:ind w:left="2608"/>
      <w:jc w:val="both"/>
    </w:pPr>
    <w:rPr>
      <w:rFonts w:ascii="Palatino Linotype" w:eastAsia="Times New Roman" w:hAnsi="Palatino Linotype"/>
      <w:snapToGrid w:val="0"/>
      <w:color w:val="000000"/>
      <w:sz w:val="18"/>
      <w:lang w:bidi="en-US"/>
      <w14:ligatures w14:val="standardContextual"/>
    </w:rPr>
  </w:style>
  <w:style w:customStyle="1" w:styleId="MDPI63notes" w:type="paragraph">
    <w:name w:val="MDPI_6.3_notes"/>
    <w:qFormat/>
    <w:rsid w:val="00677ABA"/>
    <w:pPr>
      <w:adjustRightInd w:val="0"/>
      <w:snapToGrid w:val="0"/>
      <w:spacing w:before="240" w:line="280" w:lineRule="atLeast"/>
      <w:jc w:val="both"/>
    </w:pPr>
    <w:rPr>
      <w:rFonts w:ascii="Palatino Linotype" w:hAnsi="Palatino Linotype"/>
      <w:snapToGrid w:val="0"/>
      <w:color w:val="000000"/>
      <w:sz w:val="18"/>
      <w:lang w:bidi="en-US"/>
      <w14:ligatures w14:val="standardContextual"/>
    </w:rPr>
  </w:style>
  <w:style w:customStyle="1" w:styleId="MDPI15academiceditor" w:type="paragraph">
    <w:name w:val="MDPI_1.5_academic_editor"/>
    <w:qFormat/>
    <w:rsid w:val="00677ABA"/>
    <w:pPr>
      <w:adjustRightInd w:val="0"/>
      <w:snapToGrid w:val="0"/>
      <w:spacing w:before="120" w:line="240" w:lineRule="atLeast"/>
      <w:ind w:right="113"/>
    </w:pPr>
    <w:rPr>
      <w:rFonts w:ascii="Palatino Linotype" w:eastAsia="Times New Roman" w:hAnsi="Palatino Linotype"/>
      <w:color w:val="000000"/>
      <w:sz w:val="14"/>
      <w:szCs w:val="22"/>
      <w:lang w:bidi="en-US" w:eastAsia="de-DE"/>
      <w14:ligatures w14:val="standardContextual"/>
    </w:rPr>
  </w:style>
  <w:style w:customStyle="1" w:styleId="MDPI411onetablecaption" w:type="paragraph">
    <w:name w:val="MDPI_4.1.1_one_table_caption"/>
    <w:qFormat/>
    <w:rsid w:val="00677ABA"/>
    <w:pPr>
      <w:adjustRightInd w:val="0"/>
      <w:snapToGrid w:val="0"/>
      <w:spacing w:after="120" w:before="240" w:line="280" w:lineRule="atLeast"/>
      <w:jc w:val="center"/>
    </w:pPr>
    <w:rPr>
      <w:rFonts w:ascii="Palatino Linotype" w:cstheme="minorBidi" w:eastAsiaTheme="minorEastAsia" w:hAnsi="Palatino Linotype"/>
      <w:noProof/>
      <w:color w:val="000000"/>
      <w:sz w:val="18"/>
      <w:szCs w:val="22"/>
      <w:lang w:bidi="en-US"/>
      <w14:ligatures w14:val="standardContextual"/>
    </w:rPr>
  </w:style>
  <w:style w:customStyle="1" w:styleId="MDPI511onefigurecaption" w:type="paragraph">
    <w:name w:val="MDPI_5.1.1_one_figure_caption"/>
    <w:qFormat/>
    <w:rsid w:val="00677ABA"/>
    <w:pPr>
      <w:adjustRightInd w:val="0"/>
      <w:snapToGrid w:val="0"/>
      <w:spacing w:after="120" w:before="240" w:line="280" w:lineRule="atLeast"/>
      <w:jc w:val="center"/>
    </w:pPr>
    <w:rPr>
      <w:rFonts w:ascii="Palatino Linotype" w:eastAsiaTheme="minorEastAsia" w:hAnsi="Palatino Linotype"/>
      <w:noProof/>
      <w:color w:val="000000"/>
      <w:sz w:val="18"/>
      <w:lang w:bidi="en-US"/>
      <w14:ligatures w14:val="standardContextual"/>
    </w:rPr>
  </w:style>
  <w:style w:customStyle="1" w:styleId="MDPI72copyright" w:type="paragraph">
    <w:name w:val="MDPI_7.2_copyright"/>
    <w:qFormat/>
    <w:rsid w:val="00677ABA"/>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14:ligatures w14:val="standardContextual"/>
    </w:rPr>
  </w:style>
  <w:style w:customStyle="1" w:styleId="MDPItable" w:type="table">
    <w:name w:val="MDPI_table"/>
    <w:basedOn w:val="Tablanormal"/>
    <w:uiPriority w:val="99"/>
    <w:rsid w:val="00677ABA"/>
    <w:rPr>
      <w:rFonts w:ascii="Palatino Linotype" w:hAnsi="Palatino Linotype"/>
      <w:color w:themeColor="text1" w:val="000000"/>
      <w:lang w:val="en-CA"/>
      <w14:ligatures w14:val="standardContextual"/>
    </w:rPr>
    <w:tblPr>
      <w:tblCellMar>
        <w:left w:type="dxa" w:w="0"/>
        <w:right w:type="dxa" w:w="0"/>
      </w:tblCellMar>
    </w:tblPr>
  </w:style>
  <w:style w:customStyle="1" w:styleId="apple-converted-space" w:type="character">
    <w:name w:val="apple-converted-space"/>
    <w:rsid w:val="003E3EEF"/>
  </w:style>
  <w:style w:styleId="Bibliografa" w:type="paragraph">
    <w:name w:val="Bibliography"/>
    <w:basedOn w:val="Normal"/>
    <w:next w:val="Normal"/>
    <w:unhideWhenUsed/>
    <w:qFormat/>
    <w:rsid w:val="003E3EEF"/>
  </w:style>
  <w:style w:styleId="Textoindependiente" w:type="paragraph">
    <w:name w:val="Body Text"/>
    <w:link w:val="TextoindependienteCar"/>
    <w:qFormat/>
    <w:rsid w:val="003E3EEF"/>
    <w:pPr>
      <w:spacing w:after="120" w:line="340" w:lineRule="atLeast"/>
      <w:jc w:val="both"/>
    </w:pPr>
    <w:rPr>
      <w:rFonts w:ascii="Palatino Linotype" w:hAnsi="Palatino Linotype"/>
      <w:color w:val="000000"/>
      <w:sz w:val="24"/>
      <w:lang w:eastAsia="de-DE"/>
    </w:rPr>
  </w:style>
  <w:style w:customStyle="1" w:styleId="TextoindependienteCar" w:type="character">
    <w:name w:val="Texto independiente Car"/>
    <w:link w:val="Textoindependiente"/>
    <w:rsid w:val="003E3EEF"/>
    <w:rPr>
      <w:rFonts w:ascii="Palatino Linotype" w:hAnsi="Palatino Linotype"/>
      <w:color w:val="000000"/>
      <w:sz w:val="24"/>
      <w:lang w:eastAsia="de-DE"/>
    </w:rPr>
  </w:style>
  <w:style w:styleId="Refdecomentario" w:type="character">
    <w:name w:val="annotation reference"/>
    <w:rsid w:val="003E3EEF"/>
    <w:rPr>
      <w:sz w:val="21"/>
      <w:szCs w:val="21"/>
    </w:rPr>
  </w:style>
  <w:style w:styleId="Textocomentario" w:type="paragraph">
    <w:name w:val="annotation text"/>
    <w:basedOn w:val="Normal"/>
    <w:link w:val="TextocomentarioCar"/>
    <w:rsid w:val="003E3EEF"/>
  </w:style>
  <w:style w:customStyle="1" w:styleId="TextocomentarioCar" w:type="character">
    <w:name w:val="Texto comentario Car"/>
    <w:link w:val="Textocomentario"/>
    <w:rsid w:val="003E3EEF"/>
    <w:rPr>
      <w:rFonts w:ascii="Palatino Linotype" w:hAnsi="Palatino Linotype"/>
      <w:noProof/>
      <w:color w:val="000000"/>
    </w:rPr>
  </w:style>
  <w:style w:styleId="Asuntodelcomentario" w:type="paragraph">
    <w:name w:val="annotation subject"/>
    <w:basedOn w:val="Textocomentario"/>
    <w:next w:val="Textocomentario"/>
    <w:link w:val="AsuntodelcomentarioCar"/>
    <w:rsid w:val="003E3EEF"/>
    <w:rPr>
      <w:b/>
      <w:bCs/>
    </w:rPr>
  </w:style>
  <w:style w:customStyle="1" w:styleId="AsuntodelcomentarioCar" w:type="character">
    <w:name w:val="Asunto del comentario Car"/>
    <w:link w:val="Asuntodelcomentario"/>
    <w:rsid w:val="003E3EEF"/>
    <w:rPr>
      <w:rFonts w:ascii="Palatino Linotype" w:hAnsi="Palatino Linotype"/>
      <w:b/>
      <w:bCs/>
      <w:noProof/>
      <w:color w:val="000000"/>
    </w:rPr>
  </w:style>
  <w:style w:styleId="Refdenotaalfinal" w:type="character">
    <w:name w:val="endnote reference"/>
    <w:rsid w:val="003E3EEF"/>
    <w:rPr>
      <w:vertAlign w:val="superscript"/>
    </w:rPr>
  </w:style>
  <w:style w:styleId="Textonotaalfinal" w:type="paragraph">
    <w:name w:val="endnote text"/>
    <w:basedOn w:val="Normal"/>
    <w:link w:val="TextonotaalfinalCar"/>
    <w:semiHidden/>
    <w:unhideWhenUsed/>
    <w:rsid w:val="003E3EEF"/>
    <w:pPr>
      <w:spacing w:line="240" w:lineRule="auto"/>
    </w:pPr>
  </w:style>
  <w:style w:customStyle="1" w:styleId="TextonotaalfinalCar" w:type="character">
    <w:name w:val="Texto nota al final Car"/>
    <w:link w:val="Textonotaalfinal"/>
    <w:semiHidden/>
    <w:rsid w:val="003E3EEF"/>
    <w:rPr>
      <w:rFonts w:ascii="Palatino Linotype" w:hAnsi="Palatino Linotype"/>
      <w:noProof/>
      <w:color w:val="000000"/>
    </w:rPr>
  </w:style>
  <w:style w:styleId="Hipervnculovisitado" w:type="character">
    <w:name w:val="FollowedHyperlink"/>
    <w:rsid w:val="003E3EEF"/>
    <w:rPr>
      <w:color w:val="954F72"/>
      <w:u w:val="single"/>
    </w:rPr>
  </w:style>
  <w:style w:styleId="Textonotapie" w:type="paragraph">
    <w:name w:val="footnote text"/>
    <w:basedOn w:val="Normal"/>
    <w:link w:val="TextonotapieCar"/>
    <w:uiPriority w:val="9"/>
    <w:unhideWhenUsed/>
    <w:qFormat/>
    <w:rsid w:val="003E3EEF"/>
    <w:pPr>
      <w:spacing w:line="240" w:lineRule="auto"/>
    </w:pPr>
  </w:style>
  <w:style w:customStyle="1" w:styleId="TextonotapieCar" w:type="character">
    <w:name w:val="Texto nota pie Car"/>
    <w:link w:val="Textonotapie"/>
    <w:semiHidden/>
    <w:rsid w:val="003E3EEF"/>
    <w:rPr>
      <w:rFonts w:ascii="Palatino Linotype" w:hAnsi="Palatino Linotype"/>
      <w:noProof/>
      <w:color w:val="000000"/>
    </w:rPr>
  </w:style>
  <w:style w:styleId="NormalWeb" w:type="paragraph">
    <w:name w:val="Normal (Web)"/>
    <w:basedOn w:val="Normal"/>
    <w:uiPriority w:val="99"/>
    <w:rsid w:val="003E3EEF"/>
    <w:rPr>
      <w:szCs w:val="24"/>
    </w:rPr>
  </w:style>
  <w:style w:customStyle="1" w:styleId="MsoFootnoteText0" w:type="paragraph">
    <w:name w:val="MsoFootnoteText"/>
    <w:basedOn w:val="NormalWeb"/>
    <w:qFormat/>
    <w:rsid w:val="003E3EEF"/>
    <w:rPr>
      <w:rFonts w:ascii="Times New Roman" w:hAnsi="Times New Roman"/>
    </w:rPr>
  </w:style>
  <w:style w:styleId="Nmerodepgina" w:type="character">
    <w:name w:val="page number"/>
    <w:rsid w:val="003E3EEF"/>
  </w:style>
  <w:style w:styleId="Textodelmarcadordeposicin" w:type="character">
    <w:name w:val="Placeholder Text"/>
    <w:uiPriority w:val="99"/>
    <w:semiHidden/>
    <w:rsid w:val="003E3EEF"/>
    <w:rPr>
      <w:color w:val="808080"/>
    </w:rPr>
  </w:style>
  <w:style w:customStyle="1" w:styleId="MDPI71footnotes" w:type="paragraph">
    <w:name w:val="MDPI_7.1_footnotes"/>
    <w:qFormat/>
    <w:rsid w:val="00677ABA"/>
    <w:pPr>
      <w:numPr>
        <w:numId w:val="37"/>
      </w:numPr>
      <w:adjustRightInd w:val="0"/>
      <w:snapToGrid w:val="0"/>
      <w:spacing w:line="280" w:lineRule="atLeast"/>
      <w:jc w:val="both"/>
    </w:pPr>
    <w:rPr>
      <w:rFonts w:ascii="Palatino Linotype" w:eastAsiaTheme="minorEastAsia" w:hAnsi="Palatino Linotype"/>
      <w:noProof/>
      <w:color w:val="000000"/>
      <w:sz w:val="18"/>
      <w14:ligatures w14:val="standardContextual"/>
    </w:rPr>
  </w:style>
  <w:style w:styleId="Textoennegrita" w:type="character">
    <w:name w:val="Strong"/>
    <w:basedOn w:val="Fuentedeprrafopredeter"/>
    <w:uiPriority w:val="22"/>
    <w:qFormat/>
    <w:rsid w:val="00380940"/>
    <w:rPr>
      <w:b/>
      <w:bCs/>
    </w:rPr>
  </w:style>
  <w:style w:customStyle="1" w:styleId="Ttulo1Car" w:type="character">
    <w:name w:val="Título 1 Car"/>
    <w:basedOn w:val="Fuentedeprrafopredeter"/>
    <w:link w:val="Ttulo1"/>
    <w:uiPriority w:val="9"/>
    <w:rsid w:val="004B098E"/>
    <w:rPr>
      <w:rFonts w:ascii="Times New Roman" w:cstheme="majorBidi" w:eastAsiaTheme="majorEastAsia" w:hAnsi="Times New Roman"/>
      <w:b/>
      <w:bCs/>
      <w:sz w:val="32"/>
      <w:szCs w:val="32"/>
      <w:lang w:eastAsia="en-US"/>
    </w:rPr>
  </w:style>
  <w:style w:customStyle="1" w:styleId="Ttulo2Car" w:type="character">
    <w:name w:val="Título 2 Car"/>
    <w:basedOn w:val="Fuentedeprrafopredeter"/>
    <w:link w:val="Ttulo2"/>
    <w:uiPriority w:val="9"/>
    <w:rsid w:val="004B098E"/>
    <w:rPr>
      <w:rFonts w:ascii="Times New Roman" w:cstheme="majorBidi" w:eastAsiaTheme="majorEastAsia" w:hAnsi="Times New Roman"/>
      <w:b/>
      <w:bCs/>
      <w:sz w:val="28"/>
      <w:szCs w:val="28"/>
      <w:lang w:eastAsia="en-US"/>
    </w:rPr>
  </w:style>
  <w:style w:customStyle="1" w:styleId="Ttulo3Car" w:type="character">
    <w:name w:val="Título 3 Car"/>
    <w:basedOn w:val="Fuentedeprrafopredeter"/>
    <w:link w:val="Ttulo3"/>
    <w:uiPriority w:val="9"/>
    <w:rsid w:val="004B098E"/>
    <w:rPr>
      <w:rFonts w:ascii="Times New Roman" w:cstheme="majorBidi" w:eastAsiaTheme="majorEastAsia" w:hAnsi="Times New Roman"/>
      <w:b/>
      <w:bCs/>
      <w:i/>
      <w:sz w:val="24"/>
      <w:szCs w:val="24"/>
      <w:lang w:eastAsia="en-US"/>
    </w:rPr>
  </w:style>
  <w:style w:customStyle="1" w:styleId="Ttulo4Car" w:type="character">
    <w:name w:val="Título 4 Car"/>
    <w:basedOn w:val="Fuentedeprrafopredeter"/>
    <w:link w:val="Ttulo4"/>
    <w:uiPriority w:val="9"/>
    <w:rsid w:val="004B098E"/>
    <w:rPr>
      <w:rFonts w:ascii="Times New Roman" w:cstheme="majorBidi" w:eastAsiaTheme="majorEastAsia" w:hAnsi="Times New Roman"/>
      <w:bCs/>
      <w:i/>
      <w:sz w:val="24"/>
      <w:szCs w:val="24"/>
      <w:lang w:eastAsia="en-US"/>
    </w:rPr>
  </w:style>
  <w:style w:customStyle="1" w:styleId="Ttulo5Car" w:type="character">
    <w:name w:val="Título 5 Car"/>
    <w:basedOn w:val="Fuentedeprrafopredeter"/>
    <w:link w:val="Ttulo5"/>
    <w:uiPriority w:val="9"/>
    <w:rsid w:val="004B098E"/>
    <w:rPr>
      <w:rFonts w:ascii="Times New Roman" w:cstheme="majorBidi" w:eastAsiaTheme="majorEastAsia" w:hAnsi="Times New Roman"/>
      <w:iCs/>
      <w:sz w:val="24"/>
      <w:szCs w:val="24"/>
      <w:lang w:eastAsia="en-US"/>
    </w:rPr>
  </w:style>
  <w:style w:customStyle="1" w:styleId="Ttulo6Car" w:type="character">
    <w:name w:val="Título 6 Car"/>
    <w:basedOn w:val="Fuentedeprrafopredeter"/>
    <w:link w:val="Ttulo6"/>
    <w:uiPriority w:val="9"/>
    <w:rsid w:val="004B098E"/>
    <w:rPr>
      <w:rFonts w:ascii="Times New Roman" w:cstheme="majorBidi" w:eastAsiaTheme="majorEastAsia" w:hAnsi="Times New Roman"/>
      <w:sz w:val="24"/>
      <w:szCs w:val="24"/>
      <w:lang w:eastAsia="en-US"/>
    </w:rPr>
  </w:style>
  <w:style w:customStyle="1" w:styleId="Ttulo7Car" w:type="character">
    <w:name w:val="Título 7 Car"/>
    <w:basedOn w:val="Fuentedeprrafopredeter"/>
    <w:link w:val="Ttulo7"/>
    <w:uiPriority w:val="9"/>
    <w:rsid w:val="004B098E"/>
    <w:rPr>
      <w:rFonts w:asciiTheme="majorHAnsi" w:cstheme="majorBidi" w:eastAsiaTheme="majorEastAsia" w:hAnsiTheme="majorHAnsi"/>
      <w:color w:themeColor="accent1" w:val="4472C4"/>
      <w:sz w:val="24"/>
      <w:szCs w:val="24"/>
      <w:lang w:eastAsia="en-US"/>
    </w:rPr>
  </w:style>
  <w:style w:customStyle="1" w:styleId="Ttulo8Car" w:type="character">
    <w:name w:val="Título 8 Car"/>
    <w:basedOn w:val="Fuentedeprrafopredeter"/>
    <w:link w:val="Ttulo8"/>
    <w:uiPriority w:val="9"/>
    <w:rsid w:val="004B098E"/>
    <w:rPr>
      <w:rFonts w:asciiTheme="majorHAnsi" w:cstheme="majorBidi" w:eastAsiaTheme="majorEastAsia" w:hAnsiTheme="majorHAnsi"/>
      <w:color w:themeColor="accent1" w:val="4472C4"/>
      <w:sz w:val="24"/>
      <w:szCs w:val="24"/>
      <w:lang w:eastAsia="en-US"/>
    </w:rPr>
  </w:style>
  <w:style w:customStyle="1" w:styleId="Ttulo9Car" w:type="character">
    <w:name w:val="Título 9 Car"/>
    <w:basedOn w:val="Fuentedeprrafopredeter"/>
    <w:link w:val="Ttulo9"/>
    <w:uiPriority w:val="9"/>
    <w:rsid w:val="004B098E"/>
    <w:rPr>
      <w:rFonts w:asciiTheme="majorHAnsi" w:cstheme="majorBidi" w:eastAsiaTheme="majorEastAsia" w:hAnsiTheme="majorHAnsi"/>
      <w:color w:themeColor="accent1" w:val="4472C4"/>
      <w:sz w:val="24"/>
      <w:szCs w:val="24"/>
      <w:lang w:eastAsia="en-US"/>
    </w:rPr>
  </w:style>
  <w:style w:customStyle="1" w:styleId="FirstParagraph" w:type="paragraph">
    <w:name w:val="First Paragraph"/>
    <w:basedOn w:val="Textoindependiente"/>
    <w:next w:val="Textoindependiente"/>
    <w:qFormat/>
    <w:rsid w:val="004B098E"/>
    <w:pPr>
      <w:spacing w:after="180" w:before="180" w:line="360" w:lineRule="auto"/>
    </w:pPr>
    <w:rPr>
      <w:rFonts w:ascii="Times New Roman" w:cstheme="minorBidi" w:eastAsiaTheme="minorHAnsi" w:hAnsi="Times New Roman"/>
      <w:color w:val="auto"/>
      <w:szCs w:val="24"/>
      <w:lang w:eastAsia="en-US"/>
    </w:rPr>
  </w:style>
  <w:style w:customStyle="1" w:styleId="Compact" w:type="paragraph">
    <w:name w:val="Compact"/>
    <w:basedOn w:val="Textoindependiente"/>
    <w:qFormat/>
    <w:rsid w:val="00E07D65"/>
    <w:pPr>
      <w:spacing w:after="0" w:line="240" w:lineRule="auto"/>
      <w:jc w:val="center"/>
    </w:pPr>
    <w:rPr>
      <w:rFonts w:ascii="Times New Roman" w:cstheme="minorBidi" w:eastAsiaTheme="minorHAnsi" w:hAnsi="Times New Roman"/>
      <w:color w:val="auto"/>
      <w:sz w:val="16"/>
      <w:szCs w:val="24"/>
      <w:lang w:eastAsia="en-US"/>
    </w:rPr>
  </w:style>
  <w:style w:styleId="Ttulo" w:type="paragraph">
    <w:name w:val="Title"/>
    <w:basedOn w:val="Normal"/>
    <w:next w:val="Textoindependiente"/>
    <w:link w:val="TtuloCar"/>
    <w:qFormat/>
    <w:rsid w:val="004B098E"/>
    <w:pPr>
      <w:keepNext/>
      <w:keepLines/>
      <w:spacing w:after="240" w:before="480" w:line="360" w:lineRule="auto"/>
      <w:jc w:val="center"/>
    </w:pPr>
    <w:rPr>
      <w:rFonts w:ascii="Times New Roman" w:cstheme="majorBidi" w:eastAsiaTheme="majorEastAsia" w:hAnsi="Times New Roman"/>
      <w:b/>
      <w:bCs/>
      <w:color w:val="auto"/>
      <w:sz w:val="36"/>
      <w:szCs w:val="36"/>
      <w:lang w:eastAsia="en-US"/>
    </w:rPr>
  </w:style>
  <w:style w:customStyle="1" w:styleId="TtuloCar" w:type="character">
    <w:name w:val="Título Car"/>
    <w:basedOn w:val="Fuentedeprrafopredeter"/>
    <w:link w:val="Ttulo"/>
    <w:rsid w:val="004B098E"/>
    <w:rPr>
      <w:rFonts w:ascii="Times New Roman" w:cstheme="majorBidi" w:eastAsiaTheme="majorEastAsia" w:hAnsi="Times New Roman"/>
      <w:b/>
      <w:bCs/>
      <w:sz w:val="36"/>
      <w:szCs w:val="36"/>
      <w:lang w:eastAsia="en-US"/>
    </w:rPr>
  </w:style>
  <w:style w:styleId="Subttulo" w:type="paragraph">
    <w:name w:val="Subtitle"/>
    <w:basedOn w:val="Ttulo"/>
    <w:next w:val="Textoindependiente"/>
    <w:link w:val="SubttuloCar"/>
    <w:qFormat/>
    <w:rsid w:val="004B098E"/>
    <w:pPr>
      <w:spacing w:before="240"/>
    </w:pPr>
    <w:rPr>
      <w:color w:themeColor="text1" w:val="000000"/>
      <w:sz w:val="30"/>
      <w:szCs w:val="30"/>
    </w:rPr>
  </w:style>
  <w:style w:customStyle="1" w:styleId="SubttuloCar" w:type="character">
    <w:name w:val="Subtítulo Car"/>
    <w:basedOn w:val="Fuentedeprrafopredeter"/>
    <w:link w:val="Subttulo"/>
    <w:rsid w:val="004B098E"/>
    <w:rPr>
      <w:rFonts w:ascii="Times New Roman" w:cstheme="majorBidi" w:eastAsiaTheme="majorEastAsia" w:hAnsi="Times New Roman"/>
      <w:b/>
      <w:bCs/>
      <w:color w:themeColor="text1" w:val="000000"/>
      <w:sz w:val="30"/>
      <w:szCs w:val="30"/>
      <w:lang w:eastAsia="en-US"/>
    </w:rPr>
  </w:style>
  <w:style w:customStyle="1" w:styleId="Author" w:type="paragraph">
    <w:name w:val="Author"/>
    <w:next w:val="Textoindependiente"/>
    <w:qFormat/>
    <w:rsid w:val="004B098E"/>
    <w:pPr>
      <w:keepNext/>
      <w:keepLines/>
      <w:spacing w:after="200"/>
      <w:jc w:val="center"/>
    </w:pPr>
    <w:rPr>
      <w:rFonts w:ascii="Times New Roman" w:cstheme="minorBidi" w:eastAsiaTheme="minorHAnsi" w:hAnsi="Times New Roman"/>
      <w:sz w:val="24"/>
      <w:szCs w:val="24"/>
      <w:lang w:eastAsia="en-US"/>
    </w:rPr>
  </w:style>
  <w:style w:styleId="Fecha" w:type="paragraph">
    <w:name w:val="Date"/>
    <w:next w:val="Textoindependiente"/>
    <w:link w:val="FechaCar"/>
    <w:qFormat/>
    <w:rsid w:val="004B098E"/>
    <w:pPr>
      <w:keepNext/>
      <w:keepLines/>
      <w:spacing w:after="200"/>
      <w:jc w:val="center"/>
    </w:pPr>
    <w:rPr>
      <w:rFonts w:ascii="Times New Roman" w:cstheme="minorBidi" w:eastAsiaTheme="minorHAnsi" w:hAnsi="Times New Roman"/>
      <w:sz w:val="24"/>
      <w:szCs w:val="24"/>
      <w:lang w:eastAsia="en-US"/>
    </w:rPr>
  </w:style>
  <w:style w:customStyle="1" w:styleId="FechaCar" w:type="character">
    <w:name w:val="Fecha Car"/>
    <w:basedOn w:val="Fuentedeprrafopredeter"/>
    <w:link w:val="Fecha"/>
    <w:rsid w:val="004B098E"/>
    <w:rPr>
      <w:rFonts w:ascii="Times New Roman" w:cstheme="minorBidi" w:eastAsiaTheme="minorHAnsi" w:hAnsi="Times New Roman"/>
      <w:sz w:val="24"/>
      <w:szCs w:val="24"/>
      <w:lang w:eastAsia="en-US"/>
    </w:rPr>
  </w:style>
  <w:style w:customStyle="1" w:styleId="Abstract" w:type="paragraph">
    <w:name w:val="Abstract"/>
    <w:basedOn w:val="Normal"/>
    <w:next w:val="Textoindependiente"/>
    <w:qFormat/>
    <w:rsid w:val="004B098E"/>
    <w:pPr>
      <w:keepNext/>
      <w:keepLines/>
      <w:spacing w:after="300" w:before="300" w:line="360" w:lineRule="auto"/>
    </w:pPr>
    <w:rPr>
      <w:rFonts w:ascii="Times New Roman" w:cstheme="minorBidi" w:eastAsiaTheme="minorHAnsi" w:hAnsi="Times New Roman"/>
      <w:color w:val="auto"/>
      <w:lang w:eastAsia="en-US"/>
    </w:rPr>
  </w:style>
  <w:style w:styleId="Textodebloque" w:type="paragraph">
    <w:name w:val="Block Text"/>
    <w:basedOn w:val="Textoindependiente"/>
    <w:next w:val="Textoindependiente"/>
    <w:uiPriority w:val="9"/>
    <w:unhideWhenUsed/>
    <w:qFormat/>
    <w:rsid w:val="004B098E"/>
    <w:pPr>
      <w:spacing w:after="100" w:before="100" w:line="360" w:lineRule="auto"/>
      <w:ind w:left="480" w:right="480"/>
    </w:pPr>
    <w:rPr>
      <w:rFonts w:ascii="Times New Roman" w:cstheme="minorBidi" w:eastAsiaTheme="minorHAnsi" w:hAnsi="Times New Roman"/>
      <w:color w:val="auto"/>
      <w:szCs w:val="24"/>
      <w:lang w:eastAsia="en-US"/>
    </w:rPr>
  </w:style>
  <w:style w:customStyle="1" w:styleId="Table" w:type="table">
    <w:name w:val="Table"/>
    <w:semiHidden/>
    <w:unhideWhenUsed/>
    <w:qFormat/>
    <w:rsid w:val="004B098E"/>
    <w:pPr>
      <w:spacing w:after="200"/>
      <w:jc w:val="center"/>
    </w:pPr>
    <w:rPr>
      <w:rFonts w:asciiTheme="minorHAnsi" w:cstheme="minorBidi" w:eastAsiaTheme="minorHAnsi" w:hAnsiTheme="minorHAnsi"/>
      <w:sz w:val="24"/>
      <w:szCs w:val="24"/>
      <w:lang w:eastAsia="en-US" w:val="es-CL"/>
    </w:rPr>
    <w:tblPr>
      <w:tblStyleRowBandSize w:val="1"/>
      <w:jc w:val="center"/>
      <w:tblInd w:type="dxa" w:w="0"/>
      <w:tblBorders>
        <w:top w:color="44546A" w:space="0" w:sz="4" w:themeColor="text2" w:val="single"/>
        <w:bottom w:color="44546A" w:space="0" w:sz="4" w:themeColor="text2" w:val="single"/>
      </w:tblBorders>
      <w:tblCellMar>
        <w:top w:type="dxa" w:w="0"/>
        <w:left w:type="dxa" w:w="108"/>
        <w:bottom w:type="dxa" w:w="0"/>
        <w:right w:type="dxa" w:w="108"/>
      </w:tblCellMar>
    </w:tblPr>
    <w:trPr>
      <w:jc w:val="center"/>
    </w:trPr>
    <w:tblStylePr w:type="firstRow">
      <w:tblPr/>
      <w:tcPr>
        <w:tcBorders>
          <w:bottom w:color="auto" w:space="0" w:sz="4" w:val="single"/>
        </w:tcBorders>
      </w:tcPr>
    </w:tblStylePr>
    <w:tblStylePr w:type="lastRow">
      <w:tblPr/>
      <w:tcPr>
        <w:tcBorders>
          <w:bottom w:color="auto" w:space="0" w:sz="4" w:val="single"/>
        </w:tcBorders>
      </w:tcPr>
    </w:tblStylePr>
    <w:tblStylePr w:type="band1Horz">
      <w:tblPr/>
      <w:tcPr>
        <w:tcBorders>
          <w:top w:color="F2F2F2" w:space="0" w:sz="4" w:themeColor="background1" w:themeShade="F2" w:val="single"/>
          <w:bottom w:color="F2F2F2" w:space="0" w:sz="4" w:themeColor="background1" w:themeShade="F2" w:val="single"/>
          <w:insideH w:val="nil"/>
        </w:tcBorders>
      </w:tcPr>
    </w:tblStylePr>
  </w:style>
  <w:style w:customStyle="1" w:styleId="DefinitionTerm" w:type="paragraph">
    <w:name w:val="Definition Term"/>
    <w:basedOn w:val="Normal"/>
    <w:next w:val="Definition"/>
    <w:rsid w:val="004B098E"/>
    <w:pPr>
      <w:keepNext/>
      <w:keepLines/>
      <w:spacing w:line="360" w:lineRule="auto"/>
    </w:pPr>
    <w:rPr>
      <w:rFonts w:ascii="Times New Roman" w:cstheme="minorBidi" w:eastAsiaTheme="minorHAnsi" w:hAnsi="Times New Roman"/>
      <w:b/>
      <w:color w:val="auto"/>
      <w:sz w:val="24"/>
      <w:szCs w:val="24"/>
      <w:lang w:eastAsia="en-US"/>
    </w:rPr>
  </w:style>
  <w:style w:customStyle="1" w:styleId="Definition" w:type="paragraph">
    <w:name w:val="Definition"/>
    <w:basedOn w:val="Normal"/>
    <w:rsid w:val="004B098E"/>
    <w:pPr>
      <w:spacing w:after="200" w:line="360" w:lineRule="auto"/>
    </w:pPr>
    <w:rPr>
      <w:rFonts w:ascii="Times New Roman" w:cstheme="minorBidi" w:eastAsiaTheme="minorHAnsi" w:hAnsi="Times New Roman"/>
      <w:color w:val="auto"/>
      <w:sz w:val="24"/>
      <w:szCs w:val="24"/>
      <w:lang w:eastAsia="en-US"/>
    </w:rPr>
  </w:style>
  <w:style w:styleId="Descripcin" w:type="paragraph">
    <w:name w:val="caption"/>
    <w:basedOn w:val="Normal"/>
    <w:link w:val="DescripcinCar"/>
    <w:rsid w:val="004B098E"/>
    <w:pPr>
      <w:spacing w:after="120" w:line="360" w:lineRule="auto"/>
    </w:pPr>
    <w:rPr>
      <w:rFonts w:ascii="Times New Roman" w:cstheme="minorBidi" w:eastAsiaTheme="minorHAnsi" w:hAnsi="Times New Roman"/>
      <w:i/>
      <w:color w:val="auto"/>
      <w:sz w:val="24"/>
      <w:szCs w:val="24"/>
      <w:lang w:eastAsia="en-US"/>
    </w:rPr>
  </w:style>
  <w:style w:customStyle="1" w:styleId="TableCaption" w:type="paragraph">
    <w:name w:val="Table Caption"/>
    <w:basedOn w:val="Descripcin"/>
    <w:rsid w:val="004B098E"/>
    <w:pPr>
      <w:keepNext/>
    </w:pPr>
  </w:style>
  <w:style w:customStyle="1" w:styleId="ImageCaption" w:type="paragraph">
    <w:name w:val="Image Caption"/>
    <w:basedOn w:val="Descripcin"/>
    <w:rsid w:val="004B098E"/>
  </w:style>
  <w:style w:customStyle="1" w:styleId="Figure" w:type="paragraph">
    <w:name w:val="Figure"/>
    <w:basedOn w:val="Normal"/>
    <w:rsid w:val="004B098E"/>
    <w:pPr>
      <w:spacing w:after="200" w:line="360" w:lineRule="auto"/>
    </w:pPr>
    <w:rPr>
      <w:rFonts w:ascii="Times New Roman" w:cstheme="minorBidi" w:eastAsiaTheme="minorHAnsi" w:hAnsi="Times New Roman"/>
      <w:color w:val="auto"/>
      <w:sz w:val="24"/>
      <w:szCs w:val="24"/>
      <w:lang w:eastAsia="en-US"/>
    </w:rPr>
  </w:style>
  <w:style w:customStyle="1" w:styleId="CaptionedFigure" w:type="paragraph">
    <w:name w:val="Captioned Figure"/>
    <w:basedOn w:val="Figure"/>
    <w:rsid w:val="004B098E"/>
    <w:pPr>
      <w:keepNext/>
    </w:pPr>
  </w:style>
  <w:style w:customStyle="1" w:styleId="DescripcinCar" w:type="character">
    <w:name w:val="Descripción Car"/>
    <w:basedOn w:val="Fuentedeprrafopredeter"/>
    <w:link w:val="Descripcin"/>
    <w:rsid w:val="004B098E"/>
    <w:rPr>
      <w:rFonts w:ascii="Times New Roman" w:cstheme="minorBidi" w:eastAsiaTheme="minorHAnsi" w:hAnsi="Times New Roman"/>
      <w:i/>
      <w:sz w:val="24"/>
      <w:szCs w:val="24"/>
      <w:lang w:eastAsia="en-US"/>
    </w:rPr>
  </w:style>
  <w:style w:customStyle="1" w:styleId="VerbatimChar" w:type="character">
    <w:name w:val="Verbatim Char"/>
    <w:basedOn w:val="DescripcinCar"/>
    <w:link w:val="SourceCode"/>
    <w:rsid w:val="004B098E"/>
    <w:rPr>
      <w:rFonts w:ascii="Times New Roman" w:cstheme="minorBidi" w:eastAsiaTheme="minorHAnsi" w:hAnsi="Times New Roman"/>
      <w:i/>
      <w:sz w:val="24"/>
      <w:szCs w:val="24"/>
      <w:shd w:color="auto" w:fill="F8F8F8" w:val="clear"/>
      <w:lang w:eastAsia="en-US"/>
    </w:rPr>
  </w:style>
  <w:style w:customStyle="1" w:styleId="SectionNumber" w:type="character">
    <w:name w:val="Section Number"/>
    <w:basedOn w:val="DescripcinCar"/>
    <w:rsid w:val="004B098E"/>
    <w:rPr>
      <w:rFonts w:ascii="Times New Roman" w:cstheme="minorBidi" w:eastAsiaTheme="minorHAnsi" w:hAnsi="Times New Roman"/>
      <w:i/>
      <w:sz w:val="24"/>
      <w:szCs w:val="24"/>
      <w:lang w:eastAsia="en-US"/>
    </w:rPr>
  </w:style>
  <w:style w:styleId="Refdenotaalpie" w:type="character">
    <w:name w:val="footnote reference"/>
    <w:basedOn w:val="DescripcinCar"/>
    <w:rsid w:val="004B098E"/>
    <w:rPr>
      <w:rFonts w:ascii="Times New Roman" w:cstheme="minorBidi" w:eastAsiaTheme="minorHAnsi" w:hAnsi="Times New Roman"/>
      <w:i/>
      <w:sz w:val="24"/>
      <w:szCs w:val="24"/>
      <w:vertAlign w:val="superscript"/>
      <w:lang w:eastAsia="en-US"/>
    </w:rPr>
  </w:style>
  <w:style w:styleId="TtuloTDC" w:type="paragraph">
    <w:name w:val="TOC Heading"/>
    <w:basedOn w:val="Ttulo1"/>
    <w:next w:val="Textoindependiente"/>
    <w:uiPriority w:val="39"/>
    <w:unhideWhenUsed/>
    <w:qFormat/>
    <w:rsid w:val="004B098E"/>
    <w:pPr>
      <w:spacing w:before="240" w:line="259" w:lineRule="auto"/>
      <w:outlineLvl w:val="9"/>
    </w:pPr>
    <w:rPr>
      <w:rFonts w:asciiTheme="majorHAnsi" w:hAnsiTheme="majorHAnsi"/>
      <w:b w:val="0"/>
      <w:bCs w:val="0"/>
      <w:color w:themeColor="accent1" w:themeShade="BF" w:val="2F5496"/>
    </w:rPr>
  </w:style>
  <w:style w:customStyle="1" w:styleId="SourceCode" w:type="paragraph">
    <w:name w:val="Source Code"/>
    <w:basedOn w:val="Normal"/>
    <w:link w:val="VerbatimChar"/>
    <w:rsid w:val="004B098E"/>
    <w:pPr>
      <w:shd w:color="auto" w:fill="F8F8F8" w:val="clear"/>
      <w:wordWrap w:val="0"/>
      <w:spacing w:after="200" w:line="360" w:lineRule="auto"/>
      <w:jc w:val="left"/>
    </w:pPr>
    <w:rPr>
      <w:rFonts w:ascii="Times New Roman" w:cstheme="minorBidi" w:eastAsiaTheme="minorHAnsi" w:hAnsi="Times New Roman"/>
      <w:i/>
      <w:color w:val="auto"/>
      <w:sz w:val="24"/>
      <w:szCs w:val="24"/>
      <w:lang w:eastAsia="en-US"/>
    </w:rPr>
  </w:style>
  <w:style w:customStyle="1" w:styleId="KeywordTok" w:type="character">
    <w:name w:val="KeywordTok"/>
    <w:basedOn w:val="VerbatimChar"/>
    <w:rsid w:val="004B098E"/>
    <w:rPr>
      <w:rFonts w:ascii="Consolas" w:cstheme="minorBidi" w:eastAsiaTheme="minorHAnsi" w:hAnsi="Consolas"/>
      <w:b/>
      <w:i/>
      <w:color w:val="204A87"/>
      <w:sz w:val="22"/>
      <w:szCs w:val="24"/>
      <w:shd w:color="auto" w:fill="F8F8F8" w:val="clear"/>
      <w:lang w:eastAsia="en-US"/>
    </w:rPr>
  </w:style>
  <w:style w:customStyle="1" w:styleId="DataTypeTok" w:type="character">
    <w:name w:val="DataTypeTok"/>
    <w:basedOn w:val="VerbatimChar"/>
    <w:rsid w:val="004B098E"/>
    <w:rPr>
      <w:rFonts w:ascii="Consolas" w:cstheme="minorBidi" w:eastAsiaTheme="minorHAnsi" w:hAnsi="Consolas"/>
      <w:i/>
      <w:color w:val="204A87"/>
      <w:sz w:val="22"/>
      <w:szCs w:val="24"/>
      <w:shd w:color="auto" w:fill="F8F8F8" w:val="clear"/>
      <w:lang w:eastAsia="en-US"/>
    </w:rPr>
  </w:style>
  <w:style w:customStyle="1" w:styleId="DecValTok" w:type="character">
    <w:name w:val="DecValTok"/>
    <w:basedOn w:val="VerbatimChar"/>
    <w:rsid w:val="004B098E"/>
    <w:rPr>
      <w:rFonts w:ascii="Consolas" w:cstheme="minorBidi" w:eastAsiaTheme="minorHAnsi" w:hAnsi="Consolas"/>
      <w:i/>
      <w:color w:val="0000CF"/>
      <w:sz w:val="22"/>
      <w:szCs w:val="24"/>
      <w:shd w:color="auto" w:fill="F8F8F8" w:val="clear"/>
      <w:lang w:eastAsia="en-US"/>
    </w:rPr>
  </w:style>
  <w:style w:customStyle="1" w:styleId="BaseNTok" w:type="character">
    <w:name w:val="BaseNTok"/>
    <w:basedOn w:val="VerbatimChar"/>
    <w:rsid w:val="004B098E"/>
    <w:rPr>
      <w:rFonts w:ascii="Consolas" w:cstheme="minorBidi" w:eastAsiaTheme="minorHAnsi" w:hAnsi="Consolas"/>
      <w:i/>
      <w:color w:val="0000CF"/>
      <w:sz w:val="22"/>
      <w:szCs w:val="24"/>
      <w:shd w:color="auto" w:fill="F8F8F8" w:val="clear"/>
      <w:lang w:eastAsia="en-US"/>
    </w:rPr>
  </w:style>
  <w:style w:customStyle="1" w:styleId="FloatTok" w:type="character">
    <w:name w:val="FloatTok"/>
    <w:basedOn w:val="VerbatimChar"/>
    <w:rsid w:val="004B098E"/>
    <w:rPr>
      <w:rFonts w:ascii="Consolas" w:cstheme="minorBidi" w:eastAsiaTheme="minorHAnsi" w:hAnsi="Consolas"/>
      <w:i/>
      <w:color w:val="0000CF"/>
      <w:sz w:val="22"/>
      <w:szCs w:val="24"/>
      <w:shd w:color="auto" w:fill="F8F8F8" w:val="clear"/>
      <w:lang w:eastAsia="en-US"/>
    </w:rPr>
  </w:style>
  <w:style w:customStyle="1" w:styleId="ConstantTok" w:type="character">
    <w:name w:val="ConstantTok"/>
    <w:basedOn w:val="VerbatimChar"/>
    <w:rsid w:val="004B098E"/>
    <w:rPr>
      <w:rFonts w:ascii="Consolas" w:cstheme="minorBidi" w:eastAsiaTheme="minorHAnsi" w:hAnsi="Consolas"/>
      <w:i/>
      <w:color w:val="000000"/>
      <w:sz w:val="22"/>
      <w:szCs w:val="24"/>
      <w:shd w:color="auto" w:fill="F8F8F8" w:val="clear"/>
      <w:lang w:eastAsia="en-US"/>
    </w:rPr>
  </w:style>
  <w:style w:customStyle="1" w:styleId="CharTok" w:type="character">
    <w:name w:val="CharTok"/>
    <w:basedOn w:val="VerbatimChar"/>
    <w:rsid w:val="004B098E"/>
    <w:rPr>
      <w:rFonts w:ascii="Consolas" w:cstheme="minorBidi" w:eastAsiaTheme="minorHAnsi" w:hAnsi="Consolas"/>
      <w:i/>
      <w:color w:val="4E9A06"/>
      <w:sz w:val="22"/>
      <w:szCs w:val="24"/>
      <w:shd w:color="auto" w:fill="F8F8F8" w:val="clear"/>
      <w:lang w:eastAsia="en-US"/>
    </w:rPr>
  </w:style>
  <w:style w:customStyle="1" w:styleId="SpecialCharTok" w:type="character">
    <w:name w:val="SpecialCharTok"/>
    <w:basedOn w:val="VerbatimChar"/>
    <w:rsid w:val="004B098E"/>
    <w:rPr>
      <w:rFonts w:ascii="Consolas" w:cstheme="minorBidi" w:eastAsiaTheme="minorHAnsi" w:hAnsi="Consolas"/>
      <w:i/>
      <w:color w:val="000000"/>
      <w:sz w:val="22"/>
      <w:szCs w:val="24"/>
      <w:shd w:color="auto" w:fill="F8F8F8" w:val="clear"/>
      <w:lang w:eastAsia="en-US"/>
    </w:rPr>
  </w:style>
  <w:style w:customStyle="1" w:styleId="StringTok" w:type="character">
    <w:name w:val="StringTok"/>
    <w:basedOn w:val="VerbatimChar"/>
    <w:rsid w:val="004B098E"/>
    <w:rPr>
      <w:rFonts w:ascii="Consolas" w:cstheme="minorBidi" w:eastAsiaTheme="minorHAnsi" w:hAnsi="Consolas"/>
      <w:i/>
      <w:color w:val="4E9A06"/>
      <w:sz w:val="22"/>
      <w:szCs w:val="24"/>
      <w:shd w:color="auto" w:fill="F8F8F8" w:val="clear"/>
      <w:lang w:eastAsia="en-US"/>
    </w:rPr>
  </w:style>
  <w:style w:customStyle="1" w:styleId="VerbatimStringTok" w:type="character">
    <w:name w:val="VerbatimStringTok"/>
    <w:basedOn w:val="VerbatimChar"/>
    <w:rsid w:val="004B098E"/>
    <w:rPr>
      <w:rFonts w:ascii="Consolas" w:cstheme="minorBidi" w:eastAsiaTheme="minorHAnsi" w:hAnsi="Consolas"/>
      <w:i/>
      <w:color w:val="4E9A06"/>
      <w:sz w:val="22"/>
      <w:szCs w:val="24"/>
      <w:shd w:color="auto" w:fill="F8F8F8" w:val="clear"/>
      <w:lang w:eastAsia="en-US"/>
    </w:rPr>
  </w:style>
  <w:style w:customStyle="1" w:styleId="SpecialStringTok" w:type="character">
    <w:name w:val="SpecialStringTok"/>
    <w:basedOn w:val="VerbatimChar"/>
    <w:rsid w:val="004B098E"/>
    <w:rPr>
      <w:rFonts w:ascii="Consolas" w:cstheme="minorBidi" w:eastAsiaTheme="minorHAnsi" w:hAnsi="Consolas"/>
      <w:i/>
      <w:color w:val="4E9A06"/>
      <w:sz w:val="22"/>
      <w:szCs w:val="24"/>
      <w:shd w:color="auto" w:fill="F8F8F8" w:val="clear"/>
      <w:lang w:eastAsia="en-US"/>
    </w:rPr>
  </w:style>
  <w:style w:customStyle="1" w:styleId="ImportTok" w:type="character">
    <w:name w:val="ImportTok"/>
    <w:basedOn w:val="VerbatimChar"/>
    <w:rsid w:val="004B098E"/>
    <w:rPr>
      <w:rFonts w:ascii="Consolas" w:cstheme="minorBidi" w:eastAsiaTheme="minorHAnsi" w:hAnsi="Consolas"/>
      <w:i/>
      <w:sz w:val="22"/>
      <w:szCs w:val="24"/>
      <w:shd w:color="auto" w:fill="F8F8F8" w:val="clear"/>
      <w:lang w:eastAsia="en-US"/>
    </w:rPr>
  </w:style>
  <w:style w:customStyle="1" w:styleId="CommentTok" w:type="character">
    <w:name w:val="CommentTok"/>
    <w:basedOn w:val="VerbatimChar"/>
    <w:rsid w:val="004B098E"/>
    <w:rPr>
      <w:rFonts w:ascii="Consolas" w:cstheme="minorBidi" w:eastAsiaTheme="minorHAnsi" w:hAnsi="Consolas"/>
      <w:i w:val="0"/>
      <w:color w:val="8F5902"/>
      <w:sz w:val="22"/>
      <w:szCs w:val="24"/>
      <w:shd w:color="auto" w:fill="F8F8F8" w:val="clear"/>
      <w:lang w:eastAsia="en-US"/>
    </w:rPr>
  </w:style>
  <w:style w:customStyle="1" w:styleId="DocumentationTok" w:type="character">
    <w:name w:val="Documentation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AnnotationTok" w:type="character">
    <w:name w:val="Annotation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CommentVarTok" w:type="character">
    <w:name w:val="CommentVar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OtherTok" w:type="character">
    <w:name w:val="OtherTok"/>
    <w:basedOn w:val="VerbatimChar"/>
    <w:rsid w:val="004B098E"/>
    <w:rPr>
      <w:rFonts w:ascii="Consolas" w:cstheme="minorBidi" w:eastAsiaTheme="minorHAnsi" w:hAnsi="Consolas"/>
      <w:i/>
      <w:color w:val="8F5902"/>
      <w:sz w:val="22"/>
      <w:szCs w:val="24"/>
      <w:shd w:color="auto" w:fill="F8F8F8" w:val="clear"/>
      <w:lang w:eastAsia="en-US"/>
    </w:rPr>
  </w:style>
  <w:style w:customStyle="1" w:styleId="FunctionTok" w:type="character">
    <w:name w:val="FunctionTok"/>
    <w:basedOn w:val="VerbatimChar"/>
    <w:rsid w:val="004B098E"/>
    <w:rPr>
      <w:rFonts w:ascii="Consolas" w:cstheme="minorBidi" w:eastAsiaTheme="minorHAnsi" w:hAnsi="Consolas"/>
      <w:i/>
      <w:color w:val="000000"/>
      <w:sz w:val="22"/>
      <w:szCs w:val="24"/>
      <w:shd w:color="auto" w:fill="F8F8F8" w:val="clear"/>
      <w:lang w:eastAsia="en-US"/>
    </w:rPr>
  </w:style>
  <w:style w:customStyle="1" w:styleId="VariableTok" w:type="character">
    <w:name w:val="VariableTok"/>
    <w:basedOn w:val="VerbatimChar"/>
    <w:rsid w:val="004B098E"/>
    <w:rPr>
      <w:rFonts w:ascii="Consolas" w:cstheme="minorBidi" w:eastAsiaTheme="minorHAnsi" w:hAnsi="Consolas"/>
      <w:i/>
      <w:color w:val="000000"/>
      <w:sz w:val="22"/>
      <w:szCs w:val="24"/>
      <w:shd w:color="auto" w:fill="F8F8F8" w:val="clear"/>
      <w:lang w:eastAsia="en-US"/>
    </w:rPr>
  </w:style>
  <w:style w:customStyle="1" w:styleId="ControlFlowTok" w:type="character">
    <w:name w:val="ControlFlowTok"/>
    <w:basedOn w:val="VerbatimChar"/>
    <w:rsid w:val="004B098E"/>
    <w:rPr>
      <w:rFonts w:ascii="Consolas" w:cstheme="minorBidi" w:eastAsiaTheme="minorHAnsi" w:hAnsi="Consolas"/>
      <w:b/>
      <w:i/>
      <w:color w:val="204A87"/>
      <w:sz w:val="22"/>
      <w:szCs w:val="24"/>
      <w:shd w:color="auto" w:fill="F8F8F8" w:val="clear"/>
      <w:lang w:eastAsia="en-US"/>
    </w:rPr>
  </w:style>
  <w:style w:customStyle="1" w:styleId="OperatorTok" w:type="character">
    <w:name w:val="OperatorTok"/>
    <w:basedOn w:val="VerbatimChar"/>
    <w:rsid w:val="004B098E"/>
    <w:rPr>
      <w:rFonts w:ascii="Consolas" w:cstheme="minorBidi" w:eastAsiaTheme="minorHAnsi" w:hAnsi="Consolas"/>
      <w:b/>
      <w:i/>
      <w:color w:val="CE5C00"/>
      <w:sz w:val="22"/>
      <w:szCs w:val="24"/>
      <w:shd w:color="auto" w:fill="F8F8F8" w:val="clear"/>
      <w:lang w:eastAsia="en-US"/>
    </w:rPr>
  </w:style>
  <w:style w:customStyle="1" w:styleId="BuiltInTok" w:type="character">
    <w:name w:val="BuiltInTok"/>
    <w:basedOn w:val="VerbatimChar"/>
    <w:rsid w:val="004B098E"/>
    <w:rPr>
      <w:rFonts w:ascii="Consolas" w:cstheme="minorBidi" w:eastAsiaTheme="minorHAnsi" w:hAnsi="Consolas"/>
      <w:i/>
      <w:sz w:val="22"/>
      <w:szCs w:val="24"/>
      <w:shd w:color="auto" w:fill="F8F8F8" w:val="clear"/>
      <w:lang w:eastAsia="en-US"/>
    </w:rPr>
  </w:style>
  <w:style w:customStyle="1" w:styleId="ExtensionTok" w:type="character">
    <w:name w:val="ExtensionTok"/>
    <w:basedOn w:val="VerbatimChar"/>
    <w:rsid w:val="004B098E"/>
    <w:rPr>
      <w:rFonts w:ascii="Consolas" w:cstheme="minorBidi" w:eastAsiaTheme="minorHAnsi" w:hAnsi="Consolas"/>
      <w:i/>
      <w:sz w:val="22"/>
      <w:szCs w:val="24"/>
      <w:shd w:color="auto" w:fill="F8F8F8" w:val="clear"/>
      <w:lang w:eastAsia="en-US"/>
    </w:rPr>
  </w:style>
  <w:style w:customStyle="1" w:styleId="PreprocessorTok" w:type="character">
    <w:name w:val="PreprocessorTok"/>
    <w:basedOn w:val="VerbatimChar"/>
    <w:rsid w:val="004B098E"/>
    <w:rPr>
      <w:rFonts w:ascii="Consolas" w:cstheme="minorBidi" w:eastAsiaTheme="minorHAnsi" w:hAnsi="Consolas"/>
      <w:i w:val="0"/>
      <w:color w:val="8F5902"/>
      <w:sz w:val="22"/>
      <w:szCs w:val="24"/>
      <w:shd w:color="auto" w:fill="F8F8F8" w:val="clear"/>
      <w:lang w:eastAsia="en-US"/>
    </w:rPr>
  </w:style>
  <w:style w:customStyle="1" w:styleId="AttributeTok" w:type="character">
    <w:name w:val="AttributeTok"/>
    <w:basedOn w:val="VerbatimChar"/>
    <w:rsid w:val="004B098E"/>
    <w:rPr>
      <w:rFonts w:ascii="Consolas" w:cstheme="minorBidi" w:eastAsiaTheme="minorHAnsi" w:hAnsi="Consolas"/>
      <w:i/>
      <w:color w:val="C4A000"/>
      <w:sz w:val="22"/>
      <w:szCs w:val="24"/>
      <w:shd w:color="auto" w:fill="F8F8F8" w:val="clear"/>
      <w:lang w:eastAsia="en-US"/>
    </w:rPr>
  </w:style>
  <w:style w:customStyle="1" w:styleId="RegionMarkerTok" w:type="character">
    <w:name w:val="RegionMarkerTok"/>
    <w:basedOn w:val="VerbatimChar"/>
    <w:rsid w:val="004B098E"/>
    <w:rPr>
      <w:rFonts w:ascii="Consolas" w:cstheme="minorBidi" w:eastAsiaTheme="minorHAnsi" w:hAnsi="Consolas"/>
      <w:i/>
      <w:sz w:val="22"/>
      <w:szCs w:val="24"/>
      <w:shd w:color="auto" w:fill="F8F8F8" w:val="clear"/>
      <w:lang w:eastAsia="en-US"/>
    </w:rPr>
  </w:style>
  <w:style w:customStyle="1" w:styleId="InformationTok" w:type="character">
    <w:name w:val="Information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WarningTok" w:type="character">
    <w:name w:val="WarningTok"/>
    <w:basedOn w:val="VerbatimChar"/>
    <w:rsid w:val="004B098E"/>
    <w:rPr>
      <w:rFonts w:ascii="Consolas" w:cstheme="minorBidi" w:eastAsiaTheme="minorHAnsi" w:hAnsi="Consolas"/>
      <w:b/>
      <w:i w:val="0"/>
      <w:color w:val="8F5902"/>
      <w:sz w:val="22"/>
      <w:szCs w:val="24"/>
      <w:shd w:color="auto" w:fill="F8F8F8" w:val="clear"/>
      <w:lang w:eastAsia="en-US"/>
    </w:rPr>
  </w:style>
  <w:style w:customStyle="1" w:styleId="AlertTok" w:type="character">
    <w:name w:val="AlertTok"/>
    <w:basedOn w:val="VerbatimChar"/>
    <w:rsid w:val="004B098E"/>
    <w:rPr>
      <w:rFonts w:ascii="Consolas" w:cstheme="minorBidi" w:eastAsiaTheme="minorHAnsi" w:hAnsi="Consolas"/>
      <w:i/>
      <w:color w:val="EF2929"/>
      <w:sz w:val="22"/>
      <w:szCs w:val="24"/>
      <w:shd w:color="auto" w:fill="F8F8F8" w:val="clear"/>
      <w:lang w:eastAsia="en-US"/>
    </w:rPr>
  </w:style>
  <w:style w:customStyle="1" w:styleId="ErrorTok" w:type="character">
    <w:name w:val="ErrorTok"/>
    <w:basedOn w:val="VerbatimChar"/>
    <w:rsid w:val="004B098E"/>
    <w:rPr>
      <w:rFonts w:ascii="Consolas" w:cstheme="minorBidi" w:eastAsiaTheme="minorHAnsi" w:hAnsi="Consolas"/>
      <w:b/>
      <w:i/>
      <w:color w:val="A40000"/>
      <w:sz w:val="22"/>
      <w:szCs w:val="24"/>
      <w:shd w:color="auto" w:fill="F8F8F8" w:val="clear"/>
      <w:lang w:eastAsia="en-US"/>
    </w:rPr>
  </w:style>
  <w:style w:customStyle="1" w:styleId="NormalTok" w:type="character">
    <w:name w:val="NormalTok"/>
    <w:basedOn w:val="VerbatimChar"/>
    <w:rsid w:val="004B098E"/>
    <w:rPr>
      <w:rFonts w:ascii="Consolas" w:cstheme="minorBidi" w:eastAsiaTheme="minorHAnsi" w:hAnsi="Consolas"/>
      <w:i/>
      <w:sz w:val="22"/>
      <w:szCs w:val="24"/>
      <w:shd w:color="auto" w:fill="F8F8F8" w:val="clear"/>
      <w:lang w:eastAsia="en-US"/>
    </w:rPr>
  </w:style>
  <w:style w:customStyle="1" w:styleId="Afiliation" w:type="paragraph">
    <w:name w:val="Afiliation"/>
    <w:basedOn w:val="Textoindependiente"/>
    <w:qFormat/>
    <w:rsid w:val="004B098E"/>
    <w:pPr>
      <w:spacing w:after="0" w:line="360" w:lineRule="auto"/>
    </w:pPr>
    <w:rPr>
      <w:rFonts w:ascii="Times New Roman" w:cstheme="minorBidi" w:eastAsiaTheme="minorHAnsi" w:hAnsi="Times New Roman"/>
      <w:color w:val="auto"/>
      <w:szCs w:val="24"/>
      <w:lang w:eastAsia="en-US" w:val="es-CL"/>
    </w:rPr>
  </w:style>
  <w:style w:styleId="Tablanormal2" w:type="table">
    <w:name w:val="Plain Table 2"/>
    <w:basedOn w:val="Tablanormal"/>
    <w:rsid w:val="004B098E"/>
    <w:rPr>
      <w:rFonts w:asciiTheme="minorHAnsi" w:cstheme="minorBidi" w:eastAsiaTheme="minorHAnsi" w:hAnsiTheme="minorHAnsi"/>
      <w:sz w:val="24"/>
      <w:szCs w:val="24"/>
      <w:lang w:eastAsia="en-US"/>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Tablaconcuadrculaclara" w:type="table">
    <w:name w:val="Grid Table Light"/>
    <w:basedOn w:val="Tablanormal"/>
    <w:rsid w:val="004B098E"/>
    <w:rPr>
      <w:rFonts w:asciiTheme="minorHAnsi" w:cstheme="minorBidi" w:eastAsiaTheme="minorHAnsi" w:hAnsiTheme="minorHAnsi"/>
      <w:sz w:val="24"/>
      <w:szCs w:val="24"/>
      <w:lang w:eastAsia="en-US"/>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anormal3" w:type="table">
    <w:name w:val="Plain Table 3"/>
    <w:basedOn w:val="Tablanormal"/>
    <w:rsid w:val="004B098E"/>
    <w:rPr>
      <w:rFonts w:asciiTheme="minorHAnsi" w:cstheme="minorBidi" w:eastAsiaTheme="minorHAnsi" w:hAnsiTheme="minorHAnsi"/>
      <w:sz w:val="24"/>
      <w:szCs w:val="24"/>
      <w:lang w:eastAsia="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Tablanormal5" w:type="table">
    <w:name w:val="Plain Table 5"/>
    <w:basedOn w:val="Tablanormal"/>
    <w:rsid w:val="004B098E"/>
    <w:rPr>
      <w:rFonts w:asciiTheme="minorHAnsi" w:cstheme="minorBidi" w:eastAsiaTheme="minorHAnsi" w:hAnsiTheme="minorHAnsi"/>
      <w:sz w:val="24"/>
      <w:szCs w:val="24"/>
      <w:lang w:eastAsia="en-US"/>
    </w:r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Tablaconcuadrcula1clara" w:type="table">
    <w:name w:val="Grid Table 1 Light"/>
    <w:basedOn w:val="Tablanormal"/>
    <w:rsid w:val="004B098E"/>
    <w:rPr>
      <w:rFonts w:asciiTheme="minorHAnsi" w:cstheme="minorBidi" w:eastAsiaTheme="minorHAnsi" w:hAnsiTheme="minorHAnsi"/>
      <w:sz w:val="24"/>
      <w:szCs w:val="24"/>
      <w:lang w:eastAsia="en-US"/>
    </w:r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Tabladecuadrcula2" w:type="table">
    <w:name w:val="Grid Table 2"/>
    <w:basedOn w:val="Tablanormal"/>
    <w:rsid w:val="004B098E"/>
    <w:rPr>
      <w:rFonts w:asciiTheme="minorHAnsi" w:cstheme="minorBidi" w:eastAsiaTheme="minorHAnsi" w:hAnsiTheme="minorHAnsi"/>
      <w:sz w:val="24"/>
      <w:szCs w:val="24"/>
      <w:lang w:eastAsia="en-US"/>
    </w:r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tfrommd" w:type="character">
    <w:name w:val="gt_from_md"/>
    <w:basedOn w:val="Fuentedeprrafopredeter"/>
    <w:rsid w:val="004B098E"/>
  </w:style>
  <w:style w:customStyle="1" w:styleId="katex-mathml" w:type="character">
    <w:name w:val="katex-mathml"/>
    <w:basedOn w:val="Fuentedeprrafopredeter"/>
    <w:rsid w:val="004B098E"/>
  </w:style>
  <w:style w:customStyle="1" w:styleId="mord" w:type="character">
    <w:name w:val="mord"/>
    <w:basedOn w:val="Fuentedeprrafopredeter"/>
    <w:rsid w:val="004B098E"/>
  </w:style>
  <w:style w:customStyle="1" w:styleId="mopen" w:type="character">
    <w:name w:val="mopen"/>
    <w:basedOn w:val="Fuentedeprrafopredeter"/>
    <w:rsid w:val="004B098E"/>
  </w:style>
  <w:style w:customStyle="1" w:styleId="vlist-s" w:type="character">
    <w:name w:val="vlist-s"/>
    <w:basedOn w:val="Fuentedeprrafopredeter"/>
    <w:rsid w:val="004B098E"/>
  </w:style>
  <w:style w:customStyle="1" w:styleId="mclose" w:type="character">
    <w:name w:val="mclose"/>
    <w:basedOn w:val="Fuentedeprrafopredeter"/>
    <w:rsid w:val="004B098E"/>
  </w:style>
  <w:style w:customStyle="1" w:styleId="Listaactual1" w:type="numbering">
    <w:name w:val="Lista actual1"/>
    <w:uiPriority w:val="99"/>
    <w:rsid w:val="00C039A3"/>
    <w:pPr>
      <w:numPr>
        <w:numId w:val="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Type="http://schemas.openxmlformats.org/officeDocument/2006/relationships/image" Id="rId21" Target="media/rId21.pdf" /><Relationship Type="http://schemas.openxmlformats.org/officeDocument/2006/relationships/image" Id="rId24" Target="media/rId24.pdf" /><Relationship Type="http://schemas.openxmlformats.org/officeDocument/2006/relationships/image" Id="rId27" Target="media/rId27.pdf" /><Relationship Type="http://schemas.openxmlformats.org/officeDocument/2006/relationships/image" Id="rId30" Target="media/rId30.pdf" /><Relationship Type="http://schemas.openxmlformats.org/officeDocument/2006/relationships/image" Id="rId33" Target="media/rId33.pdf" /><Relationship Type="http://schemas.openxmlformats.org/officeDocument/2006/relationships/hyperlink" Id="rId20" Target="mailto:cristian.nunez@umag.cl" TargetMode="External" /></Relationships>
</file>

<file path=word/_rels/footnotes.xml.rels><?xml version="1.0" encoding="UTF-8"?><Relationships xmlns="http://schemas.openxmlformats.org/package/2006/relationships"><Relationship Type="http://schemas.openxmlformats.org/officeDocument/2006/relationships/hyperlink" Id="rId20" Target="mailto:cristian.nunez@umag.c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DPI\Desktop\Word%20templates\technologi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C:\Users\MDPI\Desktop\Word templates\technologies-template.dot</Template>
  <TotalTime>15</TotalTime>
  <Pages>22</Pages>
  <Words>10627</Words>
  <Characters>58452</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68942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2026-08-09T19:19:30Z</dcterms:created>
  <dcterms:modified xsi:type="dcterms:W3CDTF">2026-08-09T19:19:30Z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style.csl</vt:lpwstr>
  </property>
  <property fmtid="{D5CDD505-2E9C-101B-9397-08002B2CF9AE}" pid="5" name="editor_option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