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12E2" w14:textId="77777777" w:rsidR="000D421F" w:rsidRDefault="00000000">
      <w:pPr>
        <w:pStyle w:val="Title"/>
        <w:jc w:val="center"/>
      </w:pPr>
      <w:r>
        <w:t>ANDREW IACOBELLI</w:t>
      </w:r>
    </w:p>
    <w:p w14:paraId="50B85126" w14:textId="77777777" w:rsidR="000D421F" w:rsidRDefault="00000000">
      <w:pPr>
        <w:pBdr>
          <w:bottom w:val="single" w:sz="10" w:space="1" w:color="1F4E79"/>
        </w:pBdr>
        <w:spacing w:after="20"/>
        <w:jc w:val="center"/>
      </w:pPr>
      <w:r>
        <w:rPr>
          <w:color w:val="3F3F3F"/>
          <w:sz w:val="19"/>
        </w:rPr>
        <w:t>Odessa, TX | (408) 838-7173 | aiacobellica@gmail.com | linkedin.com/in/Aiacobelli</w:t>
      </w:r>
    </w:p>
    <w:p w14:paraId="4A0E11F8" w14:textId="77777777" w:rsidR="000D421F" w:rsidRDefault="00000000">
      <w:pPr>
        <w:spacing w:before="60" w:after="40"/>
        <w:jc w:val="center"/>
      </w:pPr>
      <w:r>
        <w:rPr>
          <w:b/>
          <w:color w:val="1F4E79"/>
          <w:sz w:val="23"/>
        </w:rPr>
        <w:t>CHIEF FINANCIAL OFFICER | FINANCE, OPERATIONS &amp; ADMINISTRATIVE LEADERSHIP</w:t>
      </w:r>
    </w:p>
    <w:p w14:paraId="18D437E7" w14:textId="77777777" w:rsidR="000D421F" w:rsidRDefault="00000000">
      <w:pPr>
        <w:spacing w:after="60"/>
      </w:pPr>
      <w:r>
        <w:t>Strategic and hands-on executive with 25+ years leading Accounting, Finance, FP&amp;A, Human Resources, IT, administrative operations, and business transformation across professional services, engineering, technology, manufacturing, medical devices, aerospace/defense, and project-based environments. Trusted partner to CEOs, boards, private equity and venture investors, with deep expertise in long-range planning, cash flow, KPI reporting, commercial governance, systems optimization, risk management, and global organizational growth. GE Corporate Audit Staff trained; led and integrated 22 acquisitions, mergers, divestitures, and licensing transactions from $5M to $1B, generating more than $200M in EBITDA-related savings.</w:t>
      </w:r>
    </w:p>
    <w:p w14:paraId="20716679" w14:textId="77777777" w:rsidR="000D421F" w:rsidRDefault="00000000">
      <w:pPr>
        <w:pStyle w:val="Heading1"/>
      </w:pPr>
      <w:r>
        <w:t>EXECUTIVE VALUE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D421F" w14:paraId="62A36DAC" w14:textId="77777777">
        <w:trPr>
          <w:cantSplit/>
          <w:jc w:val="center"/>
        </w:trPr>
        <w:tc>
          <w:tcPr>
            <w:tcW w:w="3456" w:type="dxa"/>
            <w:shd w:val="clear" w:color="auto" w:fill="EAF2F8"/>
          </w:tcPr>
          <w:p w14:paraId="3974E35C" w14:textId="77777777" w:rsidR="000D421F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Strategic Finance</w:t>
            </w:r>
          </w:p>
          <w:p w14:paraId="54430B20" w14:textId="77777777" w:rsidR="000D421F" w:rsidRDefault="00000000">
            <w:pPr>
              <w:spacing w:after="0"/>
            </w:pPr>
            <w:r>
              <w:rPr>
                <w:sz w:val="16"/>
              </w:rPr>
              <w:t>Long-range plans, budgets, forecasts, financial models, cash flow and executive decision support</w:t>
            </w:r>
          </w:p>
        </w:tc>
        <w:tc>
          <w:tcPr>
            <w:tcW w:w="3456" w:type="dxa"/>
            <w:shd w:val="clear" w:color="auto" w:fill="EAF2F8"/>
          </w:tcPr>
          <w:p w14:paraId="2B0EA823" w14:textId="77777777" w:rsidR="000D421F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Operational Performance</w:t>
            </w:r>
          </w:p>
          <w:p w14:paraId="6C551490" w14:textId="77777777" w:rsidR="000D421F" w:rsidRDefault="00000000">
            <w:pPr>
              <w:spacing w:after="0"/>
            </w:pPr>
            <w:r>
              <w:rPr>
                <w:sz w:val="16"/>
              </w:rPr>
              <w:t>KPI dashboards, pricing, resource planning, cost optimization and profitability improvement</w:t>
            </w:r>
          </w:p>
        </w:tc>
        <w:tc>
          <w:tcPr>
            <w:tcW w:w="3456" w:type="dxa"/>
            <w:shd w:val="clear" w:color="auto" w:fill="EAF2F8"/>
          </w:tcPr>
          <w:p w14:paraId="1702CDF4" w14:textId="77777777" w:rsidR="000D421F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Enterprise Leadership</w:t>
            </w:r>
          </w:p>
          <w:p w14:paraId="61A3C402" w14:textId="77777777" w:rsidR="000D421F" w:rsidRDefault="00000000">
            <w:pPr>
              <w:spacing w:after="0"/>
            </w:pPr>
            <w:r>
              <w:rPr>
                <w:sz w:val="16"/>
              </w:rPr>
              <w:t>Accounting, Finance, FP&amp;A, HR, IT, administration, contracts and multi-site/global teams</w:t>
            </w:r>
          </w:p>
        </w:tc>
      </w:tr>
      <w:tr w:rsidR="000D421F" w14:paraId="206699B2" w14:textId="77777777">
        <w:trPr>
          <w:cantSplit/>
          <w:jc w:val="center"/>
        </w:trPr>
        <w:tc>
          <w:tcPr>
            <w:tcW w:w="3456" w:type="dxa"/>
            <w:shd w:val="clear" w:color="auto" w:fill="EAF2F8"/>
          </w:tcPr>
          <w:p w14:paraId="32B33D5F" w14:textId="77777777" w:rsidR="000D421F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Controls &amp; Governance</w:t>
            </w:r>
          </w:p>
          <w:p w14:paraId="21462FD8" w14:textId="77777777" w:rsidR="000D421F" w:rsidRDefault="00000000">
            <w:pPr>
              <w:spacing w:after="0"/>
            </w:pPr>
            <w:r>
              <w:rPr>
                <w:sz w:val="16"/>
              </w:rPr>
              <w:t>GAAP reporting, audits, SEC compliance, internal controls, treasury, risk and regulatory readiness</w:t>
            </w:r>
          </w:p>
        </w:tc>
        <w:tc>
          <w:tcPr>
            <w:tcW w:w="3456" w:type="dxa"/>
            <w:shd w:val="clear" w:color="auto" w:fill="EAF2F8"/>
          </w:tcPr>
          <w:p w14:paraId="1CA62C24" w14:textId="77777777" w:rsidR="000D421F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Growth &amp; Transactions</w:t>
            </w:r>
          </w:p>
          <w:p w14:paraId="2DF81D2C" w14:textId="77777777" w:rsidR="000D421F" w:rsidRDefault="00000000">
            <w:pPr>
              <w:spacing w:after="0"/>
            </w:pPr>
            <w:r>
              <w:rPr>
                <w:sz w:val="16"/>
              </w:rPr>
              <w:t>PE/VC environments, M&amp;A, integrations, restructurings, business sales and capital raising</w:t>
            </w:r>
          </w:p>
        </w:tc>
        <w:tc>
          <w:tcPr>
            <w:tcW w:w="3456" w:type="dxa"/>
            <w:shd w:val="clear" w:color="auto" w:fill="EAF2F8"/>
          </w:tcPr>
          <w:p w14:paraId="2283EE63" w14:textId="77777777" w:rsidR="000D421F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Systems &amp; Transformation</w:t>
            </w:r>
          </w:p>
          <w:p w14:paraId="3A5D17CB" w14:textId="77777777" w:rsidR="000D421F" w:rsidRDefault="00000000">
            <w:pPr>
              <w:spacing w:after="0"/>
            </w:pPr>
            <w:r>
              <w:rPr>
                <w:sz w:val="16"/>
              </w:rPr>
              <w:t>ERP/MRP, SAP, JD Edwards, payroll, automation, process redesign and scalable infrastructure</w:t>
            </w:r>
          </w:p>
        </w:tc>
      </w:tr>
    </w:tbl>
    <w:p w14:paraId="1B22F811" w14:textId="77777777" w:rsidR="000D421F" w:rsidRDefault="00000000">
      <w:pPr>
        <w:pStyle w:val="Heading1"/>
      </w:pPr>
      <w:r>
        <w:t>CORE COMPETENCIES</w:t>
      </w:r>
    </w:p>
    <w:p w14:paraId="279352B5" w14:textId="77777777" w:rsidR="000D421F" w:rsidRDefault="00000000">
      <w:pPr>
        <w:spacing w:after="40"/>
      </w:pPr>
      <w:r>
        <w:rPr>
          <w:sz w:val="17"/>
        </w:rPr>
        <w:t>Financial Strategy &amp; Long-Range Planning  |  Budgeting, Forecasting &amp; FP&amp;A  |  Cash Flow &amp; Treasury  |  KPI Dashboards &amp; Executive Reporting  |  Financial Modeling &amp; Business Cases  |  Profitability &amp; Resource Planning  |  Accounting &amp; GAAP Compliance  |  Internal Controls, Audit &amp; Risk  |  Contract Administration &amp; Commercial Governance  |  HR &amp; Administrative Operations  |  ERP Implementation &amp; Optimization  |  Process Automation  |  Private Equity &amp; High-Growth Organizations  |  Global Team Leadership  |  M&amp;A Integration &amp; Transformation</w:t>
      </w:r>
    </w:p>
    <w:p w14:paraId="59D8BBE0" w14:textId="77777777" w:rsidR="000D421F" w:rsidRDefault="00000000">
      <w:pPr>
        <w:pStyle w:val="Heading1"/>
      </w:pPr>
      <w: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72CB88AE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6AAC5D35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Andrew Iacobelli Strategic Consulting</w:t>
            </w:r>
            <w:r>
              <w:rPr>
                <w:i/>
              </w:rPr>
              <w:t xml:space="preserve"> | Multiple U.S. Locations</w:t>
            </w:r>
          </w:p>
        </w:tc>
        <w:tc>
          <w:tcPr>
            <w:tcW w:w="1944" w:type="dxa"/>
            <w:vAlign w:val="center"/>
          </w:tcPr>
          <w:p w14:paraId="7180BC7A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2020–Present</w:t>
            </w:r>
          </w:p>
        </w:tc>
      </w:tr>
    </w:tbl>
    <w:p w14:paraId="05477EDD" w14:textId="77777777" w:rsidR="000D421F" w:rsidRDefault="00000000">
      <w:pPr>
        <w:spacing w:after="10"/>
      </w:pPr>
      <w:r>
        <w:rPr>
          <w:b/>
        </w:rPr>
        <w:t>President, CFO &amp; COO — Interim and Fractional Executive Leadership</w:t>
      </w:r>
    </w:p>
    <w:p w14:paraId="22DA9D4F" w14:textId="77777777" w:rsidR="000D421F" w:rsidRDefault="00000000">
      <w:pPr>
        <w:spacing w:after="10"/>
        <w:ind w:left="230" w:hanging="173"/>
      </w:pPr>
      <w:r>
        <w:t>• Serve as CFO, COO, and President for growth-stage, project-based, manufacturing, energy, technology, and e-commerce businesses; partner with owners and executive teams on strategy, operating plans, profitability, organization design, and transaction readiness.</w:t>
      </w:r>
    </w:p>
    <w:p w14:paraId="37D19BF1" w14:textId="77777777" w:rsidR="000D421F" w:rsidRDefault="00000000">
      <w:pPr>
        <w:spacing w:after="10"/>
        <w:ind w:left="230" w:hanging="173"/>
      </w:pPr>
      <w:r>
        <w:t>• Built first-ever budgets, cash flow forecasts, KPI reporting, and financial operating rhythms for six related electrical-energy businesses; implemented payroll and ERP systems and led correction/restatement of three years of accounting records.</w:t>
      </w:r>
    </w:p>
    <w:p w14:paraId="7F5847E3" w14:textId="77777777" w:rsidR="000D421F" w:rsidRDefault="00000000">
      <w:pPr>
        <w:spacing w:after="10"/>
        <w:ind w:left="230" w:hanging="173"/>
      </w:pPr>
      <w:r>
        <w:t>• Restructured a battery-testing and manufacturing subsidiary for sale and sustainable profitability, aligning cost structure, operating processes, and financial reporting with owner expectations.</w:t>
      </w:r>
    </w:p>
    <w:p w14:paraId="78CAB969" w14:textId="77777777" w:rsidR="000D421F" w:rsidRDefault="00000000">
      <w:pPr>
        <w:spacing w:after="10"/>
        <w:ind w:left="230" w:hanging="173"/>
      </w:pPr>
      <w:r>
        <w:t>• Led COVID-era growth reorganization for an IT asset disposition and electronics refurbishment company, integrating finance, operations, e-commerce, B2B sales, workforce planning, and administrative processes.</w:t>
      </w:r>
    </w:p>
    <w:p w14:paraId="1437EB5B" w14:textId="77777777" w:rsidR="000D421F" w:rsidRDefault="00000000">
      <w:pPr>
        <w:spacing w:after="10"/>
        <w:ind w:left="230" w:hanging="173"/>
      </w:pPr>
      <w:r>
        <w:t>• At Amazon reverse logistics, redesigned processes and weekly productivity reporting, improving efficiency 17% and reducing costs by $2.2M.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6E9AD401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404CBF6D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Pluto Corporation</w:t>
            </w:r>
            <w:r>
              <w:rPr>
                <w:i/>
              </w:rPr>
              <w:t xml:space="preserve"> | French Lick, IN</w:t>
            </w:r>
          </w:p>
        </w:tc>
        <w:tc>
          <w:tcPr>
            <w:tcW w:w="1944" w:type="dxa"/>
            <w:vAlign w:val="center"/>
          </w:tcPr>
          <w:p w14:paraId="5B58895E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2018–2019</w:t>
            </w:r>
          </w:p>
        </w:tc>
      </w:tr>
    </w:tbl>
    <w:p w14:paraId="44C42A0B" w14:textId="77777777" w:rsidR="000D421F" w:rsidRDefault="00000000">
      <w:pPr>
        <w:spacing w:after="10"/>
      </w:pPr>
      <w:r>
        <w:rPr>
          <w:b/>
        </w:rPr>
        <w:t>President &amp; Chief Operating Officer</w:t>
      </w:r>
      <w:r>
        <w:rPr>
          <w:i/>
        </w:rPr>
        <w:t xml:space="preserve"> — Privately held, multi-site contract manufacturing business sold to private equity</w:t>
      </w:r>
    </w:p>
    <w:p w14:paraId="348DAF41" w14:textId="77777777" w:rsidR="000D421F" w:rsidRDefault="00000000">
      <w:pPr>
        <w:spacing w:after="10"/>
        <w:ind w:left="230" w:hanging="173"/>
      </w:pPr>
      <w:r>
        <w:t>• Led enterprise strategy and day-to-day execution across finance, sales, customer contracts, quality, safety, new product introductions, systems, HR, and administrative operations for three plants and up to 250 employees.</w:t>
      </w:r>
    </w:p>
    <w:p w14:paraId="3A89207D" w14:textId="77777777" w:rsidR="000D421F" w:rsidRDefault="00000000">
      <w:pPr>
        <w:spacing w:after="10"/>
        <w:ind w:left="230" w:hanging="173"/>
      </w:pPr>
      <w:r>
        <w:t>• Recapitalized and modernized a 40-year-old operation, automating processes and increasing annual output 11% to 67M units while strengthening customer service and employee accountability.</w:t>
      </w:r>
    </w:p>
    <w:p w14:paraId="39B02703" w14:textId="77777777" w:rsidR="000D421F" w:rsidRDefault="00000000">
      <w:pPr>
        <w:spacing w:after="10"/>
        <w:ind w:left="230" w:hanging="173"/>
      </w:pPr>
      <w:r>
        <w:t>• Built commercial and operational governance for major customers including Clorox, SC Johnson, and Method; supported pricing, contract execution, capacity planning, and resource allocation.</w:t>
      </w:r>
    </w:p>
    <w:p w14:paraId="35D5827F" w14:textId="77777777" w:rsidR="000D421F" w:rsidRDefault="00000000">
      <w:pPr>
        <w:spacing w:after="10"/>
        <w:ind w:left="230" w:hanging="173"/>
      </w:pPr>
      <w:r>
        <w:t>• Raised more than $225K in tax and grant credits and completed sale of the business to a private equity firm at a 13x multiple.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7B3CAFD6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5AFC04E6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TCS John Huxley</w:t>
            </w:r>
            <w:r>
              <w:rPr>
                <w:i/>
              </w:rPr>
              <w:t xml:space="preserve"> | Las Vegas, NV</w:t>
            </w:r>
          </w:p>
        </w:tc>
        <w:tc>
          <w:tcPr>
            <w:tcW w:w="1944" w:type="dxa"/>
            <w:vAlign w:val="center"/>
          </w:tcPr>
          <w:p w14:paraId="1154BF54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2016–2017</w:t>
            </w:r>
          </w:p>
        </w:tc>
      </w:tr>
    </w:tbl>
    <w:p w14:paraId="62329907" w14:textId="77777777" w:rsidR="000D421F" w:rsidRDefault="00000000">
      <w:pPr>
        <w:spacing w:after="10"/>
      </w:pPr>
      <w:r>
        <w:rPr>
          <w:b/>
        </w:rPr>
        <w:t>General Manager &amp; Chief Financial Officer</w:t>
      </w:r>
      <w:r>
        <w:rPr>
          <w:i/>
        </w:rPr>
        <w:t xml:space="preserve"> — Private equity-owned global gaming equipment manufacturer</w:t>
      </w:r>
    </w:p>
    <w:p w14:paraId="4A259E26" w14:textId="77777777" w:rsidR="000D421F" w:rsidRDefault="00000000">
      <w:pPr>
        <w:spacing w:after="10"/>
        <w:ind w:left="230" w:hanging="173"/>
      </w:pPr>
      <w:r>
        <w:t>• Rebuilt and mentored the accounting organization, completed year-end close and audit, and implemented stronger accounting, treasury, and reporting processes.</w:t>
      </w:r>
    </w:p>
    <w:p w14:paraId="2030F445" w14:textId="77777777" w:rsidR="000D421F" w:rsidRDefault="00000000">
      <w:pPr>
        <w:spacing w:after="10"/>
        <w:ind w:left="230" w:hanging="173"/>
      </w:pPr>
      <w:r>
        <w:t>• Created the annual budget and FP&amp;A function; recast the balance sheet and general ledger to improve GAAP compliance, financial visibility, and executive decision support.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0E58D2EC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1117B417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GrowLife Corporation</w:t>
            </w:r>
            <w:r>
              <w:rPr>
                <w:i/>
              </w:rPr>
              <w:t xml:space="preserve"> | Woodland Hills, CA</w:t>
            </w:r>
          </w:p>
        </w:tc>
        <w:tc>
          <w:tcPr>
            <w:tcW w:w="1944" w:type="dxa"/>
            <w:vAlign w:val="center"/>
          </w:tcPr>
          <w:p w14:paraId="55649299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2014–2016</w:t>
            </w:r>
          </w:p>
        </w:tc>
      </w:tr>
    </w:tbl>
    <w:p w14:paraId="00A06B53" w14:textId="77777777" w:rsidR="000D421F" w:rsidRDefault="00000000">
      <w:pPr>
        <w:spacing w:after="10"/>
      </w:pPr>
      <w:r>
        <w:rPr>
          <w:b/>
        </w:rPr>
        <w:t>Chief Financial Officer &amp; EVP, Finance Services</w:t>
      </w:r>
    </w:p>
    <w:p w14:paraId="2541FC7C" w14:textId="77777777" w:rsidR="000D421F" w:rsidRDefault="00000000">
      <w:pPr>
        <w:spacing w:after="10"/>
        <w:ind w:left="230" w:hanging="173"/>
      </w:pPr>
      <w:r>
        <w:t>• Developed budgets, forecasts, sales plans, performance metrics, and the 2015 restructuring plan supporting business turnaround and improved resource allocation.</w:t>
      </w:r>
    </w:p>
    <w:p w14:paraId="6F7FF6C3" w14:textId="77777777" w:rsidR="000D421F" w:rsidRDefault="00000000">
      <w:pPr>
        <w:spacing w:after="10"/>
        <w:ind w:left="230" w:hanging="173"/>
      </w:pPr>
      <w:r>
        <w:t>• Corrected SEC filings and restatements, strengthened compliance and reporting controls, and launched a capital-finance lending business for B2B customers.</w:t>
      </w:r>
    </w:p>
    <w:p w14:paraId="5117B01C" w14:textId="77777777" w:rsidR="004B5DAB" w:rsidRDefault="004B5DAB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569F0CE7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1B2A9AC1" w14:textId="63E7DD0A" w:rsidR="000D421F" w:rsidRDefault="00000000">
            <w:pPr>
              <w:spacing w:after="0"/>
            </w:pPr>
            <w:r>
              <w:rPr>
                <w:b/>
                <w:sz w:val="19"/>
              </w:rPr>
              <w:lastRenderedPageBreak/>
              <w:t>Metaforic Security Software</w:t>
            </w:r>
            <w:r>
              <w:rPr>
                <w:i/>
              </w:rPr>
              <w:t xml:space="preserve"> | San Francisco, CA / Glasgow, Scotland</w:t>
            </w:r>
          </w:p>
        </w:tc>
        <w:tc>
          <w:tcPr>
            <w:tcW w:w="1944" w:type="dxa"/>
            <w:vAlign w:val="center"/>
          </w:tcPr>
          <w:p w14:paraId="4C7F9C61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2012–2014</w:t>
            </w:r>
          </w:p>
        </w:tc>
      </w:tr>
    </w:tbl>
    <w:p w14:paraId="2EBEE7B0" w14:textId="77777777" w:rsidR="000D421F" w:rsidRDefault="00000000">
      <w:pPr>
        <w:spacing w:after="10"/>
      </w:pPr>
      <w:r>
        <w:rPr>
          <w:b/>
        </w:rPr>
        <w:t>Chief Financial Officer</w:t>
      </w:r>
      <w:r>
        <w:rPr>
          <w:i/>
        </w:rPr>
        <w:t xml:space="preserve"> — VC-backed global SaaS and cybersecurity company</w:t>
      </w:r>
    </w:p>
    <w:p w14:paraId="6CCB28BF" w14:textId="77777777" w:rsidR="000D421F" w:rsidRDefault="00000000">
      <w:pPr>
        <w:spacing w:after="10"/>
        <w:ind w:left="230" w:hanging="173"/>
      </w:pPr>
      <w:r>
        <w:t>• Built Finance, Accounting, FP&amp;A, Administration, Human Resources, R&amp;D support, and Compliance functions for a global startup; closed the final funding round for full product deployment.</w:t>
      </w:r>
    </w:p>
    <w:p w14:paraId="48E7111C" w14:textId="77777777" w:rsidR="000D421F" w:rsidRDefault="00000000">
      <w:pPr>
        <w:spacing w:after="10"/>
        <w:ind w:left="230" w:hanging="173"/>
      </w:pPr>
      <w:r>
        <w:t>• Supported strategic planning, investor reporting, global operations, and successful sale to an EMEA public company at a 14x multiple.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1FEC669D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63884466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EMI, LLC Strategic Consulting</w:t>
            </w:r>
            <w:r>
              <w:rPr>
                <w:i/>
              </w:rPr>
              <w:t xml:space="preserve"> | San Jose, CA</w:t>
            </w:r>
          </w:p>
        </w:tc>
        <w:tc>
          <w:tcPr>
            <w:tcW w:w="1944" w:type="dxa"/>
            <w:vAlign w:val="center"/>
          </w:tcPr>
          <w:p w14:paraId="7DB4E61A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2002–2017</w:t>
            </w:r>
          </w:p>
        </w:tc>
      </w:tr>
    </w:tbl>
    <w:p w14:paraId="4B294F8E" w14:textId="77777777" w:rsidR="000D421F" w:rsidRDefault="00000000">
      <w:pPr>
        <w:spacing w:after="10"/>
      </w:pPr>
      <w:r>
        <w:rPr>
          <w:b/>
        </w:rPr>
        <w:t>Managing Partner</w:t>
      </w:r>
    </w:p>
    <w:p w14:paraId="0ADDCF1C" w14:textId="77777777" w:rsidR="000D421F" w:rsidRDefault="00000000">
      <w:pPr>
        <w:spacing w:after="10"/>
        <w:ind w:left="230" w:hanging="173"/>
      </w:pPr>
      <w:r>
        <w:t>• Provided interim executive and advisory leadership to startups, high-growth businesses, engineering/technology services companies, and organizations undergoing restructuring or leadership transitions.</w:t>
      </w:r>
    </w:p>
    <w:p w14:paraId="7A5F1473" w14:textId="77777777" w:rsidR="000D421F" w:rsidRDefault="00000000">
      <w:pPr>
        <w:spacing w:after="10"/>
        <w:ind w:left="230" w:hanging="173"/>
      </w:pPr>
      <w:r>
        <w:t>• Advised clients including Seagate, Siemens, Abbott Labs, Infineon, Motorola, Evault, and Indian Motorcycle on finance, operations, systems, integrations, and organizational transformation.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65709B3A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2CA07138" w14:textId="77777777" w:rsidR="000D421F" w:rsidRPr="004B5DAB" w:rsidRDefault="00000000">
            <w:pPr>
              <w:spacing w:after="0"/>
              <w:rPr>
                <w:lang w:val="es-US"/>
              </w:rPr>
            </w:pPr>
            <w:r w:rsidRPr="004B5DAB">
              <w:rPr>
                <w:b/>
                <w:sz w:val="19"/>
                <w:lang w:val="es-US"/>
              </w:rPr>
              <w:t>PerkinElmer Optoelectronics</w:t>
            </w:r>
            <w:r w:rsidRPr="004B5DAB">
              <w:rPr>
                <w:i/>
                <w:lang w:val="es-US"/>
              </w:rPr>
              <w:t xml:space="preserve"> | Santa Clara, CA</w:t>
            </w:r>
          </w:p>
        </w:tc>
        <w:tc>
          <w:tcPr>
            <w:tcW w:w="1944" w:type="dxa"/>
            <w:vAlign w:val="center"/>
          </w:tcPr>
          <w:p w14:paraId="22244B7C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2000–2002</w:t>
            </w:r>
          </w:p>
        </w:tc>
      </w:tr>
    </w:tbl>
    <w:p w14:paraId="2BFFEF57" w14:textId="77777777" w:rsidR="000D421F" w:rsidRDefault="00000000">
      <w:pPr>
        <w:spacing w:after="10"/>
      </w:pPr>
      <w:r>
        <w:rPr>
          <w:b/>
        </w:rPr>
        <w:t>Chief Financial Officer</w:t>
      </w:r>
      <w:r>
        <w:rPr>
          <w:i/>
        </w:rPr>
        <w:t xml:space="preserve"> — $500M global medical-device, sensor, photonics, and R&amp;D organization</w:t>
      </w:r>
    </w:p>
    <w:p w14:paraId="148DAC55" w14:textId="77777777" w:rsidR="000D421F" w:rsidRDefault="00000000">
      <w:pPr>
        <w:spacing w:after="10"/>
        <w:ind w:left="230" w:hanging="173"/>
      </w:pPr>
      <w:r>
        <w:t>• Strategic partner to the President with responsibility for Finance, HR, IT, and operational teams across 18 global locations; led planning, reporting, controls, workforce decisions, and business transformation.</w:t>
      </w:r>
    </w:p>
    <w:p w14:paraId="1A18F68C" w14:textId="77777777" w:rsidR="000D421F" w:rsidRDefault="00000000">
      <w:pPr>
        <w:spacing w:after="10"/>
        <w:ind w:left="230" w:hanging="173"/>
      </w:pPr>
      <w:r>
        <w:t>• Implemented global ERP, MRP, and financial systems restructuring, generating $2.5M in savings and improving scalability and operational visibility.</w:t>
      </w:r>
    </w:p>
    <w:p w14:paraId="4AB71F24" w14:textId="77777777" w:rsidR="000D421F" w:rsidRDefault="00000000">
      <w:pPr>
        <w:spacing w:after="10"/>
        <w:ind w:left="230" w:hanging="173"/>
      </w:pPr>
      <w:r>
        <w:t>• Reduced overhead 21% ($34M) during an industry downturn and supported the launch and subsequent sale of flat-panel digital X-ray technology to GE Medical.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3C184C2D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6E329073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KAZ, Inc.</w:t>
            </w:r>
            <w:r>
              <w:rPr>
                <w:i/>
              </w:rPr>
              <w:t xml:space="preserve"> | New York, NY</w:t>
            </w:r>
          </w:p>
        </w:tc>
        <w:tc>
          <w:tcPr>
            <w:tcW w:w="1944" w:type="dxa"/>
            <w:vAlign w:val="center"/>
          </w:tcPr>
          <w:p w14:paraId="24DC8CF5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1997–2000</w:t>
            </w:r>
          </w:p>
        </w:tc>
      </w:tr>
    </w:tbl>
    <w:p w14:paraId="0B2F2488" w14:textId="77777777" w:rsidR="000D421F" w:rsidRDefault="00000000">
      <w:pPr>
        <w:spacing w:after="10"/>
      </w:pPr>
      <w:r>
        <w:rPr>
          <w:b/>
        </w:rPr>
        <w:t>Chief Financial Officer</w:t>
      </w:r>
      <w:r>
        <w:rPr>
          <w:i/>
        </w:rPr>
        <w:t xml:space="preserve"> — Private consumer-products company sold to private equity and VC investors</w:t>
      </w:r>
    </w:p>
    <w:p w14:paraId="2A992224" w14:textId="77777777" w:rsidR="000D421F" w:rsidRDefault="00000000">
      <w:pPr>
        <w:spacing w:after="10"/>
        <w:ind w:left="230" w:hanging="173"/>
      </w:pPr>
      <w:r>
        <w:t>• Directed Finance, HR, and IT with a 28-person team while supporting 462% growth from $45M to $225M.</w:t>
      </w:r>
    </w:p>
    <w:p w14:paraId="4FBF8369" w14:textId="77777777" w:rsidR="000D421F" w:rsidRDefault="00000000">
      <w:pPr>
        <w:spacing w:after="10"/>
        <w:ind w:left="230" w:hanging="173"/>
      </w:pPr>
      <w:r>
        <w:t>• Led three acquisitions, due diligence, integration, financing, and site consolidation, contributing $28.4M in additional EBITDA; raised more than $100M to fund acquisitions and growth.</w:t>
      </w:r>
    </w:p>
    <w:p w14:paraId="0121462A" w14:textId="77777777" w:rsidR="000D421F" w:rsidRDefault="00000000">
      <w:pPr>
        <w:spacing w:after="10"/>
        <w:ind w:left="230" w:hanging="173"/>
      </w:pPr>
      <w:r>
        <w:t>• Negotiated a global licensing agreement with Procter &amp; Gamble that generated $71M in incremental revenue and $3.5M in EBITDA.</w:t>
      </w:r>
    </w:p>
    <w:p w14:paraId="748D65C3" w14:textId="77777777" w:rsidR="000D421F" w:rsidRDefault="00000000">
      <w:pPr>
        <w:spacing w:after="10"/>
        <w:ind w:left="230" w:hanging="173"/>
      </w:pPr>
      <w:r>
        <w:t>• Implemented manufacturing ERP, cost accounting, payroll, and JD Edwards general ledger systems, reducing SG&amp;A by $250K and improving reporting discipline.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57DBA471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6F85E5FF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Honeywell / AlliedSignal</w:t>
            </w:r>
            <w:r>
              <w:rPr>
                <w:i/>
              </w:rPr>
              <w:t xml:space="preserve"> | Teterboro, NJ</w:t>
            </w:r>
          </w:p>
        </w:tc>
        <w:tc>
          <w:tcPr>
            <w:tcW w:w="1944" w:type="dxa"/>
            <w:vAlign w:val="center"/>
          </w:tcPr>
          <w:p w14:paraId="7ED54C43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1996–1997</w:t>
            </w:r>
          </w:p>
        </w:tc>
      </w:tr>
    </w:tbl>
    <w:p w14:paraId="204077DE" w14:textId="77777777" w:rsidR="000D421F" w:rsidRDefault="00000000">
      <w:pPr>
        <w:spacing w:after="10"/>
      </w:pPr>
      <w:r>
        <w:rPr>
          <w:b/>
        </w:rPr>
        <w:t>Director of Finance</w:t>
      </w:r>
      <w:r>
        <w:rPr>
          <w:i/>
        </w:rPr>
        <w:t xml:space="preserve"> — $375M global aerospace, defense, transportation, and technology division</w:t>
      </w:r>
    </w:p>
    <w:p w14:paraId="644339F1" w14:textId="77777777" w:rsidR="000D421F" w:rsidRDefault="00000000">
      <w:pPr>
        <w:spacing w:after="10"/>
        <w:ind w:left="230" w:hanging="173"/>
      </w:pPr>
      <w:r>
        <w:t>• Financial partner to the Division President and general management team; led reporting, strategic planning, budgeting, FP&amp;A, cost controls, performance metrics, and systems integration across five locations and 35 finance employees.</w:t>
      </w:r>
    </w:p>
    <w:p w14:paraId="0212B888" w14:textId="77777777" w:rsidR="000D421F" w:rsidRDefault="00000000">
      <w:pPr>
        <w:spacing w:after="10"/>
        <w:ind w:left="230" w:hanging="173"/>
      </w:pPr>
      <w:r>
        <w:t>• Implemented SAP ERP and R&amp;D cost-control reporting; drove site consolidation and Six Sigma initiatives that reduced annual costs by $17M and supported a 20% earnings-growth operating plan.</w:t>
      </w:r>
    </w:p>
    <w:p w14:paraId="233DF50D" w14:textId="77777777" w:rsidR="000D421F" w:rsidRDefault="00000000">
      <w:pPr>
        <w:spacing w:after="10"/>
        <w:ind w:left="230" w:hanging="173"/>
      </w:pPr>
      <w:r>
        <w:t>• Supported management buyout and successful sale of the business unit.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944"/>
      </w:tblGrid>
      <w:tr w:rsidR="000D421F" w14:paraId="28AA0A6A" w14:textId="77777777">
        <w:trPr>
          <w:cantSplit/>
          <w:jc w:val="center"/>
        </w:trPr>
        <w:tc>
          <w:tcPr>
            <w:tcW w:w="8496" w:type="dxa"/>
            <w:vAlign w:val="center"/>
          </w:tcPr>
          <w:p w14:paraId="1AEEBDAF" w14:textId="77777777" w:rsidR="000D421F" w:rsidRDefault="00000000">
            <w:pPr>
              <w:spacing w:after="0"/>
            </w:pPr>
            <w:r>
              <w:rPr>
                <w:b/>
                <w:sz w:val="19"/>
              </w:rPr>
              <w:t>General Electric / GE Capital</w:t>
            </w:r>
            <w:r>
              <w:rPr>
                <w:i/>
              </w:rPr>
              <w:t xml:space="preserve"> | United States &amp; Europe</w:t>
            </w:r>
          </w:p>
        </w:tc>
        <w:tc>
          <w:tcPr>
            <w:tcW w:w="1944" w:type="dxa"/>
            <w:vAlign w:val="center"/>
          </w:tcPr>
          <w:p w14:paraId="53EF9167" w14:textId="77777777" w:rsidR="000D421F" w:rsidRDefault="00000000">
            <w:pPr>
              <w:spacing w:after="0"/>
              <w:jc w:val="right"/>
            </w:pPr>
            <w:r>
              <w:rPr>
                <w:b/>
              </w:rPr>
              <w:t>1985–1995</w:t>
            </w:r>
          </w:p>
        </w:tc>
      </w:tr>
    </w:tbl>
    <w:p w14:paraId="1E5E50DD" w14:textId="77777777" w:rsidR="000D421F" w:rsidRDefault="00000000">
      <w:pPr>
        <w:spacing w:after="10"/>
      </w:pPr>
      <w:r>
        <w:rPr>
          <w:b/>
        </w:rPr>
        <w:t>Vice President/Controller; Director, Business Integration &amp; Process Improvement; GE Corporate Audit Staff; Senior Finance Roles</w:t>
      </w:r>
    </w:p>
    <w:p w14:paraId="2350E549" w14:textId="77777777" w:rsidR="000D421F" w:rsidRDefault="00000000">
      <w:pPr>
        <w:spacing w:after="10"/>
        <w:ind w:left="230" w:hanging="173"/>
      </w:pPr>
      <w:r>
        <w:t>• Led budgeting, treasury, credit and collections, FP&amp;A, pricing, investment analysis, and finance support for a $785M capital-leasing division; introduced pricing models that increased earnings 45% ($17.3M).</w:t>
      </w:r>
    </w:p>
    <w:p w14:paraId="7178E16E" w14:textId="77777777" w:rsidR="000D421F" w:rsidRDefault="00000000">
      <w:pPr>
        <w:spacing w:after="10"/>
        <w:ind w:left="230" w:hanging="173"/>
      </w:pPr>
      <w:r>
        <w:t>• Managed acquisition integration for a $1B European fleet-leasing business across 11 countries, standardizing back-office processes, reducing operating costs 15%, improving customer response time 18%, and increasing net income 5% ($15M).</w:t>
      </w:r>
    </w:p>
    <w:p w14:paraId="456D36D7" w14:textId="77777777" w:rsidR="000D421F" w:rsidRDefault="00000000">
      <w:pPr>
        <w:spacing w:after="10"/>
        <w:ind w:left="230" w:hanging="173"/>
      </w:pPr>
      <w:r>
        <w:t>• Conducted global financial, acquisition, information-systems, accounting, controls, and compliance reviews for senior management as a member of GE Corporate Audit Staff.</w:t>
      </w:r>
    </w:p>
    <w:p w14:paraId="09DDB5F1" w14:textId="77777777" w:rsidR="000D421F" w:rsidRDefault="00000000">
      <w:pPr>
        <w:spacing w:after="10"/>
        <w:ind w:left="230" w:hanging="173"/>
      </w:pPr>
      <w:r>
        <w:t>• Led technology and treasury process redesigns generating multimillion-dollar savings, including $3M annually from a new treasury settlement process.</w:t>
      </w:r>
    </w:p>
    <w:p w14:paraId="19999E3E" w14:textId="77777777" w:rsidR="000D421F" w:rsidRDefault="00000000">
      <w:pPr>
        <w:pStyle w:val="Heading1"/>
      </w:pPr>
      <w:r>
        <w:t>SELECTED TRANSACTION &amp; TRANSFORMATION EXPERIENCE</w:t>
      </w:r>
    </w:p>
    <w:p w14:paraId="35587323" w14:textId="77777777" w:rsidR="000D421F" w:rsidRDefault="00000000">
      <w:pPr>
        <w:spacing w:after="10"/>
        <w:ind w:left="230" w:hanging="173"/>
      </w:pPr>
      <w:r>
        <w:t>• Led and implemented 22 acquisitions, mergers, divestitures, and licensing transactions ranging from $5M to $1B, including due diligence, financial modeling, integration planning, controls, systems, workforce alignment, and commercial execution.</w:t>
      </w:r>
    </w:p>
    <w:p w14:paraId="1D45CB8D" w14:textId="77777777" w:rsidR="000D421F" w:rsidRDefault="00000000">
      <w:pPr>
        <w:spacing w:after="10"/>
        <w:ind w:left="230" w:hanging="173"/>
      </w:pPr>
      <w:r>
        <w:t>• Integrated an 11-country, $1B European acquisition and delivered more than $150M in reduced capital costs; completed multiple confidential transactions across medical systems, financial services, engineering services, mortgage, credit-card processing, and food distribution.</w:t>
      </w:r>
    </w:p>
    <w:p w14:paraId="199E9ECA" w14:textId="77777777" w:rsidR="000D421F" w:rsidRDefault="00000000">
      <w:pPr>
        <w:spacing w:after="10"/>
        <w:ind w:left="230" w:hanging="173"/>
      </w:pPr>
      <w:r>
        <w:t>• Completed successful business sales at 9x, 13x, and 14x multiples and created measurable EBITDA through acquisition integration, licensing, restructuring, and process optimization.</w:t>
      </w:r>
    </w:p>
    <w:p w14:paraId="753E788E" w14:textId="77777777" w:rsidR="000D421F" w:rsidRDefault="00000000">
      <w:pPr>
        <w:pStyle w:val="Heading1"/>
      </w:pPr>
      <w:r>
        <w:t>EDUCATION</w:t>
      </w:r>
    </w:p>
    <w:p w14:paraId="78A3E33B" w14:textId="77777777" w:rsidR="000D421F" w:rsidRDefault="00000000">
      <w:pPr>
        <w:spacing w:after="0"/>
      </w:pPr>
      <w:r>
        <w:rPr>
          <w:b/>
        </w:rPr>
        <w:t>Miami University, Oxford, Ohio — Bachelor of Science, Finance</w:t>
      </w:r>
    </w:p>
    <w:p w14:paraId="4251542E" w14:textId="77777777" w:rsidR="000D421F" w:rsidRDefault="00000000">
      <w:pPr>
        <w:spacing w:after="0"/>
      </w:pPr>
      <w:r>
        <w:t>Miami University European Center, Luxembourg — International Economics</w:t>
      </w:r>
    </w:p>
    <w:sectPr w:rsidR="000D421F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9CDE" w14:textId="77777777" w:rsidR="00AF3071" w:rsidRDefault="00AF3071">
      <w:pPr>
        <w:spacing w:after="0"/>
      </w:pPr>
      <w:r>
        <w:separator/>
      </w:r>
    </w:p>
  </w:endnote>
  <w:endnote w:type="continuationSeparator" w:id="0">
    <w:p w14:paraId="1CA653AB" w14:textId="77777777" w:rsidR="00AF3071" w:rsidRDefault="00AF30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516E" w14:textId="77777777" w:rsidR="000D421F" w:rsidRDefault="00000000">
    <w:pPr>
      <w:pStyle w:val="Footer"/>
      <w:jc w:val="center"/>
    </w:pPr>
    <w:r>
      <w:rPr>
        <w:color w:val="646464"/>
        <w:sz w:val="16"/>
      </w:rPr>
      <w:t xml:space="preserve">Andrew Iacobelli | Executive Finance Resume |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4B5DAB">
      <w:rPr>
        <w:color w:val="646464"/>
        <w:sz w:val="16"/>
      </w:rPr>
      <w:fldChar w:fldCharType="separate"/>
    </w:r>
    <w:r w:rsidR="004B5DAB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DE043" w14:textId="77777777" w:rsidR="00AF3071" w:rsidRDefault="00AF3071">
      <w:pPr>
        <w:spacing w:after="0"/>
      </w:pPr>
      <w:r>
        <w:separator/>
      </w:r>
    </w:p>
  </w:footnote>
  <w:footnote w:type="continuationSeparator" w:id="0">
    <w:p w14:paraId="6E88143A" w14:textId="77777777" w:rsidR="00AF3071" w:rsidRDefault="00AF30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732681">
    <w:abstractNumId w:val="8"/>
  </w:num>
  <w:num w:numId="2" w16cid:durableId="1300111887">
    <w:abstractNumId w:val="6"/>
  </w:num>
  <w:num w:numId="3" w16cid:durableId="1961833790">
    <w:abstractNumId w:val="5"/>
  </w:num>
  <w:num w:numId="4" w16cid:durableId="1801074263">
    <w:abstractNumId w:val="4"/>
  </w:num>
  <w:num w:numId="5" w16cid:durableId="1129589432">
    <w:abstractNumId w:val="7"/>
  </w:num>
  <w:num w:numId="6" w16cid:durableId="163666569">
    <w:abstractNumId w:val="3"/>
  </w:num>
  <w:num w:numId="7" w16cid:durableId="1682538088">
    <w:abstractNumId w:val="2"/>
  </w:num>
  <w:num w:numId="8" w16cid:durableId="1135610183">
    <w:abstractNumId w:val="1"/>
  </w:num>
  <w:num w:numId="9" w16cid:durableId="75995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21F"/>
    <w:rsid w:val="0015074B"/>
    <w:rsid w:val="0029639D"/>
    <w:rsid w:val="00326F90"/>
    <w:rsid w:val="004B5DAB"/>
    <w:rsid w:val="00AA1D8D"/>
    <w:rsid w:val="00AF3071"/>
    <w:rsid w:val="00B364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8E2F2"/>
  <w14:defaultImageDpi w14:val="300"/>
  <w15:docId w15:val="{FF9DF580-E632-444C-ACFD-89FF6E47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0"/>
      <w:outlineLvl w:val="1"/>
    </w:pPr>
    <w:rPr>
      <w:rFonts w:asciiTheme="majorHAnsi" w:eastAsiaTheme="majorEastAsia" w:hAnsiTheme="majorHAnsi" w:cstheme="majorBidi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Iacobelli - Executive Finance Resume</dc:title>
  <dc:subject>Tailored executive resume for strategic finance and administrative leadership role</dc:subject>
  <dc:creator>Andrew Iacobelli</dc:creator>
  <cp:keywords/>
  <dc:description>generated by python-docx</dc:description>
  <cp:lastModifiedBy>Andrew L Iacobelli</cp:lastModifiedBy>
  <cp:revision>2</cp:revision>
  <dcterms:created xsi:type="dcterms:W3CDTF">2013-12-23T23:15:00Z</dcterms:created>
  <dcterms:modified xsi:type="dcterms:W3CDTF">2026-08-04T20:24:00Z</dcterms:modified>
  <cp:category/>
</cp:coreProperties>
</file>