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CB" w:rsidRPr="00C774EC" w:rsidRDefault="004C0D1E">
      <w:pPr>
        <w:rPr>
          <w:b/>
          <w:sz w:val="40"/>
        </w:rPr>
      </w:pPr>
      <w:r>
        <w:rPr>
          <w:b/>
          <w:sz w:val="40"/>
        </w:rPr>
        <w:t>Solmate Project Solution</w:t>
      </w:r>
    </w:p>
    <w:p w:rsidR="00BF72EB" w:rsidRDefault="00BF72EB"/>
    <w:p w:rsidR="00BF72EB" w:rsidRDefault="00BF72EB"/>
    <w:p w:rsidR="00215DB2" w:rsidRDefault="0022552D" w:rsidP="00107240">
      <w:r w:rsidRPr="00C774EC">
        <w:rPr>
          <w:rFonts w:hint="eastAsia"/>
          <w:b/>
        </w:rPr>
        <w:t>S</w:t>
      </w:r>
      <w:r w:rsidRPr="00C774EC">
        <w:rPr>
          <w:b/>
        </w:rPr>
        <w:t>ince</w:t>
      </w:r>
      <w:r>
        <w:t xml:space="preserve">: </w:t>
      </w:r>
      <w:r w:rsidR="004C0D1E">
        <w:t>Saturday, December 11, 2021</w:t>
      </w:r>
    </w:p>
    <w:p w:rsidR="0026321A" w:rsidRDefault="0026321A">
      <w:r w:rsidRPr="00DF42ED">
        <w:rPr>
          <w:b/>
        </w:rPr>
        <w:t>Version</w:t>
      </w:r>
      <w:r>
        <w:t>: 1</w:t>
      </w:r>
    </w:p>
    <w:p w:rsidR="0022552D" w:rsidRDefault="0022552D"/>
    <w:p w:rsidR="00B57E4D" w:rsidRPr="006C3A7C" w:rsidRDefault="00054994" w:rsidP="006C3A7C">
      <w:pPr>
        <w:jc w:val="center"/>
        <w:rPr>
          <w:b/>
        </w:rPr>
      </w:pPr>
      <w:r w:rsidRPr="006C3A7C">
        <w:rPr>
          <w:rFonts w:hint="eastAsia"/>
          <w:b/>
        </w:rPr>
        <w:t>T</w:t>
      </w:r>
      <w:r w:rsidRPr="006C3A7C">
        <w:rPr>
          <w:b/>
        </w:rPr>
        <w:t>able of Content</w:t>
      </w:r>
    </w:p>
    <w:p w:rsidR="00054994" w:rsidRDefault="00054994"/>
    <w:p w:rsidR="006854D6" w:rsidRDefault="006C3A7C">
      <w:pPr>
        <w:pStyle w:val="1"/>
        <w:tabs>
          <w:tab w:val="left" w:pos="420"/>
          <w:tab w:val="right" w:leader="dot" w:pos="13948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90131101" w:history="1">
        <w:r w:rsidR="006854D6" w:rsidRPr="00215CA5">
          <w:rPr>
            <w:rStyle w:val="a3"/>
            <w:b/>
            <w:noProof/>
          </w:rPr>
          <w:t>1.</w:t>
        </w:r>
        <w:r w:rsidR="006854D6">
          <w:rPr>
            <w:noProof/>
          </w:rPr>
          <w:tab/>
        </w:r>
        <w:r w:rsidR="006854D6" w:rsidRPr="00215CA5">
          <w:rPr>
            <w:rStyle w:val="a3"/>
            <w:b/>
            <w:noProof/>
          </w:rPr>
          <w:t>Facts</w:t>
        </w:r>
        <w:r w:rsidR="006854D6">
          <w:rPr>
            <w:noProof/>
            <w:webHidden/>
          </w:rPr>
          <w:tab/>
        </w:r>
        <w:r w:rsidR="006854D6">
          <w:rPr>
            <w:noProof/>
            <w:webHidden/>
          </w:rPr>
          <w:fldChar w:fldCharType="begin"/>
        </w:r>
        <w:r w:rsidR="006854D6">
          <w:rPr>
            <w:noProof/>
            <w:webHidden/>
          </w:rPr>
          <w:instrText xml:space="preserve"> PAGEREF _Toc90131101 \h </w:instrText>
        </w:r>
        <w:r w:rsidR="006854D6">
          <w:rPr>
            <w:noProof/>
            <w:webHidden/>
          </w:rPr>
        </w:r>
        <w:r w:rsidR="006854D6">
          <w:rPr>
            <w:noProof/>
            <w:webHidden/>
          </w:rPr>
          <w:fldChar w:fldCharType="separate"/>
        </w:r>
        <w:r w:rsidR="00A8738B">
          <w:rPr>
            <w:noProof/>
            <w:webHidden/>
          </w:rPr>
          <w:t>2</w:t>
        </w:r>
        <w:r w:rsidR="006854D6">
          <w:rPr>
            <w:noProof/>
            <w:webHidden/>
          </w:rPr>
          <w:fldChar w:fldCharType="end"/>
        </w:r>
      </w:hyperlink>
    </w:p>
    <w:p w:rsidR="006854D6" w:rsidRDefault="006854D6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131102" w:history="1">
        <w:r w:rsidRPr="00215CA5">
          <w:rPr>
            <w:rStyle w:val="a3"/>
            <w:b/>
            <w:noProof/>
          </w:rPr>
          <w:t>2.</w:t>
        </w:r>
        <w:r>
          <w:rPr>
            <w:noProof/>
          </w:rPr>
          <w:tab/>
        </w:r>
        <w:r w:rsidRPr="00215CA5">
          <w:rPr>
            <w:rStyle w:val="a3"/>
            <w:b/>
            <w:noProof/>
          </w:rPr>
          <w:t>System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_Toc90131102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73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4D6" w:rsidRDefault="006854D6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131103" w:history="1">
        <w:r w:rsidRPr="00215CA5">
          <w:rPr>
            <w:rStyle w:val="a3"/>
            <w:b/>
            <w:noProof/>
          </w:rPr>
          <w:t>3.</w:t>
        </w:r>
        <w:r>
          <w:rPr>
            <w:noProof/>
          </w:rPr>
          <w:tab/>
        </w:r>
        <w:r w:rsidRPr="00215CA5">
          <w:rPr>
            <w:rStyle w:val="a3"/>
            <w:b/>
            <w:noProof/>
          </w:rPr>
          <w:t>New Solution of Calculating $CIETY Reward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73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994" w:rsidRDefault="006C3A7C">
      <w:r>
        <w:fldChar w:fldCharType="end"/>
      </w:r>
    </w:p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EE4412" w:rsidRDefault="00EE4412"/>
    <w:p w:rsidR="00BF72EB" w:rsidRPr="00B57E4D" w:rsidRDefault="004C0D1E" w:rsidP="00B57E4D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0" w:name="_Toc90131101"/>
      <w:r>
        <w:rPr>
          <w:rFonts w:hint="eastAsia"/>
          <w:b/>
        </w:rPr>
        <w:lastRenderedPageBreak/>
        <w:t>Facts</w:t>
      </w:r>
      <w:bookmarkEnd w:id="0"/>
    </w:p>
    <w:p w:rsidR="00BF72EB" w:rsidRDefault="004C0D1E" w:rsidP="00175569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G</w:t>
      </w:r>
      <w:r>
        <w:t xml:space="preserve">iven a time slot(in this project, the time unit of emitting is day), calculating one NFT’s $CIETY requires calculating all NFTs’ </w:t>
      </w:r>
      <w:r w:rsidR="00931F16">
        <w:t>veNFT</w:t>
      </w:r>
      <w:r>
        <w:t xml:space="preserve">, </w:t>
      </w:r>
      <w:r w:rsidR="00D74DA0">
        <w:t xml:space="preserve">what’s more, it has to calculate on all slots during last_slot throug current_slot, </w:t>
      </w:r>
      <w:r>
        <w:t>it’s computationally heavy.</w:t>
      </w:r>
    </w:p>
    <w:p w:rsidR="0085407F" w:rsidRDefault="00B73540" w:rsidP="0085407F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CB9E3E1" wp14:editId="3D48D9FD">
            <wp:extent cx="7495238" cy="3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7" w:rsidRDefault="00B94957" w:rsidP="0085407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L</w:t>
      </w:r>
      <w:r>
        <w:t>ogically there is a aligning process, since initializing and on each</w:t>
      </w:r>
      <w:r w:rsidR="002A52AD">
        <w:t xml:space="preserve"> time of</w:t>
      </w:r>
      <w:r>
        <w:t xml:space="preserve"> staking, because every NFT’</w:t>
      </w:r>
      <w:r w:rsidR="00C541AC">
        <w:t>s time</w:t>
      </w:r>
      <w:r>
        <w:t>line</w:t>
      </w:r>
      <w:r w:rsidR="00C541AC">
        <w:t xml:space="preserve"> slots</w:t>
      </w:r>
      <w:r>
        <w:t xml:space="preserve"> has to be aligned with the $CIETY emitting timeline</w:t>
      </w:r>
      <w:r w:rsidR="00C541AC">
        <w:t xml:space="preserve"> slots, otherwise no way to calculate reward</w:t>
      </w:r>
      <w:r w:rsidR="00413EF4">
        <w:t>s</w:t>
      </w:r>
      <w:r w:rsidR="00DF383A">
        <w:t>, sure</w:t>
      </w:r>
      <w:r w:rsidR="002E53F5">
        <w:t>ly</w:t>
      </w:r>
      <w:r w:rsidR="00DF383A">
        <w:t xml:space="preserve"> it’s not right to rewad twice for an NFT on each slot</w:t>
      </w:r>
      <w:r>
        <w:t>.</w:t>
      </w:r>
    </w:p>
    <w:p w:rsidR="004C0D1E" w:rsidRDefault="00EE3E9C" w:rsidP="00175569">
      <w:pPr>
        <w:pStyle w:val="a4"/>
        <w:numPr>
          <w:ilvl w:val="0"/>
          <w:numId w:val="13"/>
        </w:numPr>
        <w:ind w:firstLineChars="0"/>
      </w:pPr>
      <w:r>
        <w:t>Solana smart contract have limits:</w:t>
      </w:r>
    </w:p>
    <w:p w:rsidR="00EE3E9C" w:rsidRDefault="00EE3E9C" w:rsidP="00175569">
      <w:pPr>
        <w:pStyle w:val="a4"/>
        <w:numPr>
          <w:ilvl w:val="1"/>
          <w:numId w:val="13"/>
        </w:numPr>
        <w:ind w:firstLineChars="0"/>
      </w:pPr>
      <w:r>
        <w:t>Space: 10mb/account</w:t>
      </w:r>
    </w:p>
    <w:p w:rsidR="00EE3E9C" w:rsidRDefault="00EE3E9C" w:rsidP="00175569">
      <w:pPr>
        <w:pStyle w:val="a4"/>
        <w:numPr>
          <w:ilvl w:val="1"/>
          <w:numId w:val="13"/>
        </w:numPr>
        <w:ind w:firstLineChars="0"/>
      </w:pPr>
      <w:r>
        <w:t>Compute unit: 200k/execution</w:t>
      </w:r>
      <w:r w:rsidR="00786473">
        <w:t>/contract</w:t>
      </w:r>
      <w:r w:rsidR="00C54B39">
        <w:t xml:space="preserve"> (this is the problem we are facing right now</w:t>
      </w:r>
      <w:r w:rsidR="00550BFD">
        <w:t xml:space="preserve"> and what this doc is focusing on</w:t>
      </w:r>
      <w:r w:rsidR="00C54B39">
        <w:t>)</w:t>
      </w:r>
    </w:p>
    <w:p w:rsidR="008D201B" w:rsidRDefault="008D201B" w:rsidP="007B581C"/>
    <w:p w:rsidR="007B581C" w:rsidRDefault="007B581C" w:rsidP="007B581C"/>
    <w:p w:rsidR="00EE3E9C" w:rsidRPr="008D201B" w:rsidRDefault="008D201B" w:rsidP="008D201B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1" w:name="_Toc90131102"/>
      <w:r>
        <w:rPr>
          <w:b/>
        </w:rPr>
        <w:lastRenderedPageBreak/>
        <w:t>System Use Cases</w:t>
      </w:r>
      <w:bookmarkEnd w:id="1"/>
    </w:p>
    <w:p w:rsidR="00175569" w:rsidRDefault="007839D9">
      <w:r>
        <w:rPr>
          <w:noProof/>
        </w:rPr>
        <w:drawing>
          <wp:inline distT="0" distB="0" distL="0" distR="0" wp14:anchorId="53CFECA4" wp14:editId="420E91FA">
            <wp:extent cx="8609524" cy="4095238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C" w:rsidRPr="00EE3E9C" w:rsidRDefault="00EE3E9C"/>
    <w:p w:rsidR="004C0D1E" w:rsidRDefault="004C0D1E"/>
    <w:p w:rsidR="00975555" w:rsidRDefault="00975555"/>
    <w:p w:rsidR="00975555" w:rsidRDefault="00975555">
      <w:pPr>
        <w:rPr>
          <w:rFonts w:hint="eastAsia"/>
        </w:rPr>
      </w:pPr>
    </w:p>
    <w:p w:rsidR="00C80B81" w:rsidRDefault="00F5200E" w:rsidP="003007C4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2" w:name="_Toc90131103"/>
      <w:r w:rsidRPr="003007C4">
        <w:rPr>
          <w:rFonts w:hint="eastAsia"/>
          <w:b/>
        </w:rPr>
        <w:lastRenderedPageBreak/>
        <w:t>N</w:t>
      </w:r>
      <w:r w:rsidRPr="003007C4">
        <w:rPr>
          <w:b/>
        </w:rPr>
        <w:t xml:space="preserve">ew </w:t>
      </w:r>
      <w:r w:rsidR="00C80B81">
        <w:rPr>
          <w:b/>
        </w:rPr>
        <w:t>Solution of Calculating $CIETY</w:t>
      </w:r>
      <w:r w:rsidR="004270DD">
        <w:rPr>
          <w:b/>
        </w:rPr>
        <w:t xml:space="preserve"> Reward</w:t>
      </w:r>
      <w:bookmarkEnd w:id="2"/>
    </w:p>
    <w:p w:rsidR="00174514" w:rsidRPr="00FC23F4" w:rsidRDefault="00C80B81" w:rsidP="00C80B81">
      <w:r>
        <w:t xml:space="preserve">Every use case is okay, except for use case #3 CHECK OUT REWARDS due to </w:t>
      </w:r>
      <w:r w:rsidR="00F5200E" w:rsidRPr="00C80B81">
        <w:t xml:space="preserve">Solana </w:t>
      </w:r>
      <w:r>
        <w:t>chain’s</w:t>
      </w:r>
      <w:r w:rsidR="00F5200E" w:rsidRPr="00C80B81">
        <w:t xml:space="preserve"> </w:t>
      </w:r>
      <w:r>
        <w:t>r</w:t>
      </w:r>
      <w:r w:rsidR="00F5200E" w:rsidRPr="00C80B81">
        <w:t>estrictions</w:t>
      </w:r>
      <w:r>
        <w:t>,</w:t>
      </w:r>
      <w:r w:rsidR="00FC23F4">
        <w:t xml:space="preserve"> the spaces taken by storing staking info of all NFTs won’t be a problem, because we can tackle it by sharding the storage into multiple Solana accounts. But, the compute unit limit is a problem, </w:t>
      </w:r>
      <w:r w:rsidR="00FC23F4">
        <w:t>here is the solution</w:t>
      </w:r>
      <w:r w:rsidR="00FC23F4" w:rsidRPr="00C80B81">
        <w:t xml:space="preserve"> </w:t>
      </w:r>
      <w:r w:rsidR="00FC23F4">
        <w:t xml:space="preserve">with no </w:t>
      </w:r>
      <w:r w:rsidR="00FC23F4" w:rsidRPr="00C80B81">
        <w:t xml:space="preserve">ompromise on </w:t>
      </w:r>
      <w:r w:rsidR="00FC23F4">
        <w:t>f</w:t>
      </w:r>
      <w:r w:rsidR="00FC23F4" w:rsidRPr="00C80B81">
        <w:t>airness</w:t>
      </w:r>
      <w:r w:rsidR="00FC23F4">
        <w:t>.</w:t>
      </w:r>
    </w:p>
    <w:p w:rsidR="00F5200E" w:rsidRDefault="00826149">
      <w:r>
        <w:rPr>
          <w:noProof/>
        </w:rPr>
        <w:drawing>
          <wp:inline distT="0" distB="0" distL="0" distR="0" wp14:anchorId="30D4E9D0" wp14:editId="6069EA33">
            <wp:extent cx="7237215" cy="4244197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3253" cy="42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C4" w:rsidRDefault="001A5507">
      <w:r>
        <w:rPr>
          <w:rFonts w:hint="eastAsia"/>
        </w:rPr>
        <w:lastRenderedPageBreak/>
        <w:t>K</w:t>
      </w:r>
      <w:r>
        <w:t>ey points:</w:t>
      </w:r>
    </w:p>
    <w:p w:rsidR="001A5507" w:rsidRDefault="001A5507" w:rsidP="001A5507">
      <w:pPr>
        <w:pStyle w:val="a4"/>
        <w:numPr>
          <w:ilvl w:val="0"/>
          <w:numId w:val="15"/>
        </w:numPr>
        <w:ind w:firstLineChars="0"/>
      </w:pPr>
      <w:r>
        <w:t xml:space="preserve">If you don’t like to read through all steps of off-chain, it’s fine, simply put, just move over the reward calculations off-chain and store the </w:t>
      </w:r>
      <w:r w:rsidR="00FF1774">
        <w:t>result</w:t>
      </w:r>
      <w:r>
        <w:t xml:space="preserve"> on-chain without compromise</w:t>
      </w:r>
      <w:r w:rsidR="00ED1FD9">
        <w:t xml:space="preserve"> on</w:t>
      </w:r>
      <w:r>
        <w:t xml:space="preserve"> the fairness.</w:t>
      </w:r>
    </w:p>
    <w:p w:rsidR="001A5507" w:rsidRDefault="001A5507" w:rsidP="001A550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</w:t>
      </w:r>
      <w:r>
        <w:t>his off-chain action will be performed atomically via a distributed queue, since last_slot can only be updated atomically.</w:t>
      </w:r>
    </w:p>
    <w:p w:rsidR="001A5507" w:rsidRDefault="00F712C3" w:rsidP="001A5507">
      <w:pPr>
        <w:pStyle w:val="a4"/>
        <w:numPr>
          <w:ilvl w:val="0"/>
          <w:numId w:val="15"/>
        </w:numPr>
        <w:ind w:firstLineChars="0"/>
      </w:pPr>
      <w:r>
        <w:t>When a staker wants to check out his total $CIETY at a moment of time, the system will determine if current_slot == last_slot</w:t>
      </w:r>
      <w:r w:rsidR="006764AE">
        <w:t xml:space="preserve"> first</w:t>
      </w:r>
      <w:r>
        <w:t xml:space="preserve"> to see if it’s necessary to calute, if not necessary just return his current accumulated $CIETY</w:t>
      </w:r>
      <w:r w:rsidR="00194CB6">
        <w:t xml:space="preserve"> from the local storage</w:t>
      </w:r>
      <w:r>
        <w:t>, this reduces the system burden.</w:t>
      </w:r>
    </w:p>
    <w:p w:rsidR="00F712C3" w:rsidRDefault="0066521B" w:rsidP="001A5507">
      <w:pPr>
        <w:pStyle w:val="a4"/>
        <w:numPr>
          <w:ilvl w:val="0"/>
          <w:numId w:val="15"/>
        </w:numPr>
        <w:ind w:firstLineChars="0"/>
      </w:pPr>
      <w:r>
        <w:t xml:space="preserve">A staker’s on-chain accumulated $CIETY can only be updated under his permission, sure, </w:t>
      </w:r>
      <w:r w:rsidR="00274F6E">
        <w:t>he is the payer, because updating</w:t>
      </w:r>
      <w:r>
        <w:t xml:space="preserve"> an account’s data </w:t>
      </w:r>
      <w:r w:rsidR="00D96937">
        <w:t>is not free</w:t>
      </w:r>
      <w:r w:rsidR="0019527C">
        <w:t xml:space="preserve"> on Solana chain</w:t>
      </w:r>
      <w:bookmarkStart w:id="3" w:name="_GoBack"/>
      <w:bookmarkEnd w:id="3"/>
      <w:r w:rsidR="00D96937">
        <w:t>, someone has to pay, meanwhile the proj config is immutalbe, so it’s fair.</w:t>
      </w:r>
      <w:r w:rsidR="00FC30B0">
        <w:t xml:space="preserve"> To be more fair, if you like, you can get the code of</w:t>
      </w:r>
      <w:r w:rsidR="00C95D13">
        <w:t xml:space="preserve"> reward cal</w:t>
      </w:r>
      <w:r w:rsidR="00FC30B0">
        <w:t>culation and proj config open source.</w:t>
      </w:r>
    </w:p>
    <w:p w:rsidR="0066521B" w:rsidRDefault="00AB6329" w:rsidP="001A5507">
      <w:pPr>
        <w:pStyle w:val="a4"/>
        <w:numPr>
          <w:ilvl w:val="0"/>
          <w:numId w:val="15"/>
        </w:numPr>
        <w:ind w:firstLineChars="0"/>
      </w:pPr>
      <w:r>
        <w:t xml:space="preserve">The accumulated $CIETY </w:t>
      </w:r>
      <w:r w:rsidR="002377E6">
        <w:t xml:space="preserve">and all other </w:t>
      </w:r>
      <w:r w:rsidR="00675294">
        <w:t xml:space="preserve">staking </w:t>
      </w:r>
      <w:r w:rsidR="002377E6">
        <w:t>info</w:t>
      </w:r>
      <w:r w:rsidR="003172FB">
        <w:t>(when staked, time length)</w:t>
      </w:r>
      <w:r w:rsidR="002377E6">
        <w:t xml:space="preserve"> </w:t>
      </w:r>
      <w:r>
        <w:t>on each staked NFT</w:t>
      </w:r>
      <w:r w:rsidR="004E1F3C">
        <w:t xml:space="preserve"> of a given staker is accesible, so a staker can audit, that’s fair.</w:t>
      </w:r>
    </w:p>
    <w:p w:rsidR="001A5507" w:rsidRDefault="001A5507"/>
    <w:p w:rsidR="003007C4" w:rsidRDefault="003007C4"/>
    <w:p w:rsidR="003007C4" w:rsidRDefault="003007C4">
      <w:pPr>
        <w:rPr>
          <w:rFonts w:hint="eastAsia"/>
        </w:rPr>
      </w:pPr>
    </w:p>
    <w:p w:rsidR="004C0D1E" w:rsidRDefault="004C0D1E"/>
    <w:p w:rsidR="00922265" w:rsidRDefault="00922265"/>
    <w:p w:rsidR="004C0D1E" w:rsidRDefault="004C0D1E"/>
    <w:sectPr w:rsidR="004C0D1E" w:rsidSect="007B1D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3B9" w:rsidRDefault="004B33B9" w:rsidP="00216995">
      <w:r>
        <w:separator/>
      </w:r>
    </w:p>
  </w:endnote>
  <w:endnote w:type="continuationSeparator" w:id="0">
    <w:p w:rsidR="004B33B9" w:rsidRDefault="004B33B9" w:rsidP="0021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3B9" w:rsidRDefault="004B33B9" w:rsidP="00216995">
      <w:r>
        <w:separator/>
      </w:r>
    </w:p>
  </w:footnote>
  <w:footnote w:type="continuationSeparator" w:id="0">
    <w:p w:rsidR="004B33B9" w:rsidRDefault="004B33B9" w:rsidP="0021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1D6"/>
    <w:multiLevelType w:val="hybridMultilevel"/>
    <w:tmpl w:val="2862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6304C9"/>
    <w:multiLevelType w:val="hybridMultilevel"/>
    <w:tmpl w:val="0F801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FD163D"/>
    <w:multiLevelType w:val="hybridMultilevel"/>
    <w:tmpl w:val="A57E6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29D7A8E"/>
    <w:multiLevelType w:val="hybridMultilevel"/>
    <w:tmpl w:val="EEAE1D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5F0997"/>
    <w:multiLevelType w:val="hybridMultilevel"/>
    <w:tmpl w:val="3BDA6E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047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E8D454C"/>
    <w:multiLevelType w:val="hybridMultilevel"/>
    <w:tmpl w:val="72860F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E4A05"/>
    <w:multiLevelType w:val="hybridMultilevel"/>
    <w:tmpl w:val="F1363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22724F"/>
    <w:multiLevelType w:val="hybridMultilevel"/>
    <w:tmpl w:val="0B52BB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510A94"/>
    <w:multiLevelType w:val="hybridMultilevel"/>
    <w:tmpl w:val="FB966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393966"/>
    <w:multiLevelType w:val="hybridMultilevel"/>
    <w:tmpl w:val="6436EE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0F72DD"/>
    <w:multiLevelType w:val="hybridMultilevel"/>
    <w:tmpl w:val="D2FA5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7C6C11"/>
    <w:multiLevelType w:val="hybridMultilevel"/>
    <w:tmpl w:val="40F42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5728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B705C4C"/>
    <w:multiLevelType w:val="hybridMultilevel"/>
    <w:tmpl w:val="1B6449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13"/>
  </w:num>
  <w:num w:numId="13">
    <w:abstractNumId w:val="11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F1"/>
    <w:rsid w:val="000140B3"/>
    <w:rsid w:val="00041DCE"/>
    <w:rsid w:val="00054994"/>
    <w:rsid w:val="0008498B"/>
    <w:rsid w:val="00094436"/>
    <w:rsid w:val="000B0EB0"/>
    <w:rsid w:val="000C240C"/>
    <w:rsid w:val="000D7491"/>
    <w:rsid w:val="000E6A5D"/>
    <w:rsid w:val="000F02AC"/>
    <w:rsid w:val="00107240"/>
    <w:rsid w:val="001229DB"/>
    <w:rsid w:val="00133184"/>
    <w:rsid w:val="00134598"/>
    <w:rsid w:val="00141506"/>
    <w:rsid w:val="00141ABF"/>
    <w:rsid w:val="00151644"/>
    <w:rsid w:val="00154D20"/>
    <w:rsid w:val="00174514"/>
    <w:rsid w:val="00175569"/>
    <w:rsid w:val="00194CB6"/>
    <w:rsid w:val="0019527C"/>
    <w:rsid w:val="001971BF"/>
    <w:rsid w:val="001A5507"/>
    <w:rsid w:val="00210BF9"/>
    <w:rsid w:val="00211A8F"/>
    <w:rsid w:val="00215DB2"/>
    <w:rsid w:val="00216995"/>
    <w:rsid w:val="0022552D"/>
    <w:rsid w:val="00230D59"/>
    <w:rsid w:val="00230F8B"/>
    <w:rsid w:val="0023713E"/>
    <w:rsid w:val="002377E6"/>
    <w:rsid w:val="00250630"/>
    <w:rsid w:val="00255E40"/>
    <w:rsid w:val="0026321A"/>
    <w:rsid w:val="002679FE"/>
    <w:rsid w:val="00274F6E"/>
    <w:rsid w:val="002A52AD"/>
    <w:rsid w:val="002E53F5"/>
    <w:rsid w:val="002E7DE0"/>
    <w:rsid w:val="002F36A0"/>
    <w:rsid w:val="003007C4"/>
    <w:rsid w:val="00316126"/>
    <w:rsid w:val="003172FB"/>
    <w:rsid w:val="00333529"/>
    <w:rsid w:val="00346C68"/>
    <w:rsid w:val="00357DA1"/>
    <w:rsid w:val="003615E6"/>
    <w:rsid w:val="00365969"/>
    <w:rsid w:val="00366D6C"/>
    <w:rsid w:val="0037406A"/>
    <w:rsid w:val="00380349"/>
    <w:rsid w:val="003931BF"/>
    <w:rsid w:val="003E3A1E"/>
    <w:rsid w:val="004027C0"/>
    <w:rsid w:val="00406F44"/>
    <w:rsid w:val="00410203"/>
    <w:rsid w:val="00413EF4"/>
    <w:rsid w:val="00417CB6"/>
    <w:rsid w:val="004270DD"/>
    <w:rsid w:val="004271FC"/>
    <w:rsid w:val="00432B85"/>
    <w:rsid w:val="00450D44"/>
    <w:rsid w:val="00472D3F"/>
    <w:rsid w:val="004975BE"/>
    <w:rsid w:val="004B33B9"/>
    <w:rsid w:val="004C0D1E"/>
    <w:rsid w:val="004E1F3C"/>
    <w:rsid w:val="004E2EA2"/>
    <w:rsid w:val="00514E2A"/>
    <w:rsid w:val="00550BFD"/>
    <w:rsid w:val="005563EF"/>
    <w:rsid w:val="00566E79"/>
    <w:rsid w:val="00573C84"/>
    <w:rsid w:val="0059445E"/>
    <w:rsid w:val="0059734F"/>
    <w:rsid w:val="005B5876"/>
    <w:rsid w:val="005B6BB3"/>
    <w:rsid w:val="005D566F"/>
    <w:rsid w:val="005F78CA"/>
    <w:rsid w:val="00621197"/>
    <w:rsid w:val="006346E3"/>
    <w:rsid w:val="00650C4C"/>
    <w:rsid w:val="0066521B"/>
    <w:rsid w:val="00675294"/>
    <w:rsid w:val="006764AE"/>
    <w:rsid w:val="00677715"/>
    <w:rsid w:val="006854D6"/>
    <w:rsid w:val="006B39C0"/>
    <w:rsid w:val="006C3A7C"/>
    <w:rsid w:val="006E6AC5"/>
    <w:rsid w:val="006F662A"/>
    <w:rsid w:val="00710F26"/>
    <w:rsid w:val="00741FC8"/>
    <w:rsid w:val="00745D03"/>
    <w:rsid w:val="00763459"/>
    <w:rsid w:val="007676FE"/>
    <w:rsid w:val="007827A1"/>
    <w:rsid w:val="007839D9"/>
    <w:rsid w:val="00786473"/>
    <w:rsid w:val="007B1D8F"/>
    <w:rsid w:val="007B581C"/>
    <w:rsid w:val="007D3653"/>
    <w:rsid w:val="007E0640"/>
    <w:rsid w:val="00811AF1"/>
    <w:rsid w:val="008122B4"/>
    <w:rsid w:val="00826149"/>
    <w:rsid w:val="00843FF6"/>
    <w:rsid w:val="0085407F"/>
    <w:rsid w:val="008752A9"/>
    <w:rsid w:val="00883D0F"/>
    <w:rsid w:val="008C0FBA"/>
    <w:rsid w:val="008C2ED5"/>
    <w:rsid w:val="008D201B"/>
    <w:rsid w:val="008D7451"/>
    <w:rsid w:val="008E68CF"/>
    <w:rsid w:val="00922265"/>
    <w:rsid w:val="00931F16"/>
    <w:rsid w:val="009657F2"/>
    <w:rsid w:val="00975555"/>
    <w:rsid w:val="00987CA9"/>
    <w:rsid w:val="00993598"/>
    <w:rsid w:val="009959BD"/>
    <w:rsid w:val="009A1758"/>
    <w:rsid w:val="009B0294"/>
    <w:rsid w:val="009B74A5"/>
    <w:rsid w:val="009C4CD0"/>
    <w:rsid w:val="009F64FD"/>
    <w:rsid w:val="00A15819"/>
    <w:rsid w:val="00A41246"/>
    <w:rsid w:val="00A4490B"/>
    <w:rsid w:val="00A45C11"/>
    <w:rsid w:val="00A8738B"/>
    <w:rsid w:val="00AA3015"/>
    <w:rsid w:val="00AB6329"/>
    <w:rsid w:val="00B514F3"/>
    <w:rsid w:val="00B57E4D"/>
    <w:rsid w:val="00B6141C"/>
    <w:rsid w:val="00B73540"/>
    <w:rsid w:val="00B94957"/>
    <w:rsid w:val="00BB0C39"/>
    <w:rsid w:val="00BB202E"/>
    <w:rsid w:val="00BD009B"/>
    <w:rsid w:val="00BE2F4D"/>
    <w:rsid w:val="00BE69DF"/>
    <w:rsid w:val="00BF72EB"/>
    <w:rsid w:val="00C02E6A"/>
    <w:rsid w:val="00C07084"/>
    <w:rsid w:val="00C2451C"/>
    <w:rsid w:val="00C344E6"/>
    <w:rsid w:val="00C469FC"/>
    <w:rsid w:val="00C47350"/>
    <w:rsid w:val="00C541AC"/>
    <w:rsid w:val="00C54B39"/>
    <w:rsid w:val="00C5775F"/>
    <w:rsid w:val="00C774EC"/>
    <w:rsid w:val="00C80B81"/>
    <w:rsid w:val="00C8222B"/>
    <w:rsid w:val="00C93B15"/>
    <w:rsid w:val="00C952EE"/>
    <w:rsid w:val="00C95D13"/>
    <w:rsid w:val="00C964F6"/>
    <w:rsid w:val="00C978EA"/>
    <w:rsid w:val="00CB30CC"/>
    <w:rsid w:val="00CB67E4"/>
    <w:rsid w:val="00CD0D1B"/>
    <w:rsid w:val="00CD6517"/>
    <w:rsid w:val="00CE3CD8"/>
    <w:rsid w:val="00D10419"/>
    <w:rsid w:val="00D56A1D"/>
    <w:rsid w:val="00D74DA0"/>
    <w:rsid w:val="00D96937"/>
    <w:rsid w:val="00DA20EF"/>
    <w:rsid w:val="00DA708E"/>
    <w:rsid w:val="00DB3504"/>
    <w:rsid w:val="00DD5BA2"/>
    <w:rsid w:val="00DD6F12"/>
    <w:rsid w:val="00DD78F5"/>
    <w:rsid w:val="00DE57FC"/>
    <w:rsid w:val="00DF383A"/>
    <w:rsid w:val="00DF42ED"/>
    <w:rsid w:val="00DF6B1F"/>
    <w:rsid w:val="00E063F3"/>
    <w:rsid w:val="00E27E1F"/>
    <w:rsid w:val="00E51605"/>
    <w:rsid w:val="00E537F6"/>
    <w:rsid w:val="00E84D28"/>
    <w:rsid w:val="00E854DF"/>
    <w:rsid w:val="00E932F3"/>
    <w:rsid w:val="00EC64EA"/>
    <w:rsid w:val="00ED1FD9"/>
    <w:rsid w:val="00EE3E9C"/>
    <w:rsid w:val="00EE4412"/>
    <w:rsid w:val="00EE576D"/>
    <w:rsid w:val="00EF32D3"/>
    <w:rsid w:val="00F21F15"/>
    <w:rsid w:val="00F411FB"/>
    <w:rsid w:val="00F5200E"/>
    <w:rsid w:val="00F712C3"/>
    <w:rsid w:val="00F73241"/>
    <w:rsid w:val="00F76BAB"/>
    <w:rsid w:val="00F93D9A"/>
    <w:rsid w:val="00FC23F4"/>
    <w:rsid w:val="00FC30B0"/>
    <w:rsid w:val="00FC5DA5"/>
    <w:rsid w:val="00FE7BA7"/>
    <w:rsid w:val="00FF070D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4685-ACEF-40E2-8536-DC816FEE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F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73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0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169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6995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6346E3"/>
  </w:style>
  <w:style w:type="paragraph" w:styleId="2">
    <w:name w:val="toc 2"/>
    <w:basedOn w:val="a"/>
    <w:next w:val="a"/>
    <w:autoRedefine/>
    <w:uiPriority w:val="39"/>
    <w:unhideWhenUsed/>
    <w:rsid w:val="006346E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346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0A47F-0C5E-4DD3-BD13-2B836628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10179</TotalTime>
  <Pages>1</Pages>
  <Words>395</Words>
  <Characters>2254</Characters>
  <Application>Microsoft Office Word</Application>
  <DocSecurity>0</DocSecurity>
  <Lines>18</Lines>
  <Paragraphs>5</Paragraphs>
  <ScaleCrop>false</ScaleCrop>
  <Company>P R C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262</cp:revision>
  <cp:lastPrinted>2021-12-11T08:20:00Z</cp:lastPrinted>
  <dcterms:created xsi:type="dcterms:W3CDTF">2021-04-16T17:21:00Z</dcterms:created>
  <dcterms:modified xsi:type="dcterms:W3CDTF">2021-12-13T03:20:00Z</dcterms:modified>
</cp:coreProperties>
</file>