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B1020"/>
          <w:sz w:val="30"/>
          <w:szCs w:val="30"/>
        </w:rPr>
        <w:t xml:space="preserve">handy</w:t>
      </w:r>
      <w:r>
        <w:rPr>
          <w:rFonts w:ascii="Arial" w:cs="Arial" w:eastAsia="Arial" w:hAnsi="Arial"/>
          <w:b/>
          <w:bCs/>
          <w:color w:val="F5A524"/>
          <w:sz w:val="30"/>
          <w:szCs w:val="30"/>
        </w:rPr>
        <w:t xml:space="preserve">man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B1020"/>
          <w:sz w:val="40"/>
          <w:szCs w:val="40"/>
        </w:rPr>
        <w:t xml:space="preserve">Guion del pitch final</w:t>
      </w:r>
    </w:p>
    <w:p>
      <w:pPr>
        <w:spacing w:after="60" w:before="0"/>
      </w:pPr>
      <w:r>
        <w:rPr>
          <w:rFonts w:ascii="Arial" w:cs="Arial" w:eastAsia="Arial" w:hAnsi="Arial"/>
          <w:color w:val="6B7489"/>
          <w:sz w:val="18"/>
          <w:szCs w:val="18"/>
        </w:rPr>
        <w:t xml:space="preserve">Gestión Empresarial y Fundamentos de Emprendimiento · Mgtr. Mónica Lou de Gutiérrez · Universidad Rafael Landívar · Equipo 5</w:t>
      </w:r>
    </w:p>
    <w:p>
      <w:pPr>
        <w:spacing w:after="200" w:before="0"/>
      </w:pPr>
      <w:r>
        <w:rPr>
          <w:rFonts w:ascii="Arial" w:cs="Arial" w:eastAsia="Arial" w:hAnsi="Arial"/>
          <w:color w:val="6B7489"/>
          <w:sz w:val="18"/>
          <w:szCs w:val="18"/>
        </w:rPr>
        <w:t xml:space="preserve">Mateo Salguero 1308826 · Sebastián Aguilar 1245025 · Alicia Mendoza 1193226 · Fabio Franco 1087126 · Santiago Spillari 2211125 · Fernanda Salazar 1107023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B1020"/>
          <w:sz w:val="19"/>
          <w:szCs w:val="19"/>
        </w:rPr>
        <w:t xml:space="preserve">Duración total: </w:t>
      </w:r>
      <w:r>
        <w:rPr>
          <w:rFonts w:ascii="Arial" w:cs="Arial" w:eastAsia="Arial" w:hAnsi="Arial"/>
          <w:color w:val="434C63"/>
          <w:sz w:val="19"/>
          <w:szCs w:val="19"/>
        </w:rPr>
        <w:t xml:space="preserve">≈ 22 minutos de presentación + 8 minutos de preguntas (turno de 30 minutos). Presentación: Handyman_Presentacion_Final.pptx (30 diapositivas).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300"/>
        <w:gridCol w:w="900"/>
        <w:gridCol w:w="2700"/>
        <w:gridCol w:w="6900"/>
      </w:tblGrid>
      <w:tr>
        <w:trPr>
          <w:tblHeader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Diapositivas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6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decir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1–2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Mateo Salguero</w:t>
            </w:r>
          </w:p>
        </w:tc>
        <w:tc>
          <w:tcPr>
            <w:tcW w:type="dxa" w:w="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1:00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Apertura con historia</w:t>
            </w:r>
          </w:p>
        </w:tc>
        <w:tc>
          <w:tcPr>
            <w:tcW w:type="dxa" w:w="6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Contar la historia del domingo a las 7 de la noche, sin leer y mirando al público.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Cerrar con el dato: al 52.4 % ya le quedó mal un trabajo. “Por eso creamos Handyman”.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3–7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Fabio Franco</w:t>
            </w:r>
          </w:p>
        </w:tc>
        <w:tc>
          <w:tcPr>
            <w:tcW w:type="dxa" w:w="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3:00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Equipo, plan de ABR, reto y mercado</w:t>
            </w:r>
          </w:p>
        </w:tc>
        <w:tc>
          <w:tcPr>
            <w:tcW w:type="dxa" w:w="6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Presentar a cada integrante en una frase (rúbrica: presentación de los miembros).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Recorrer Conectar → Investigar → Actuar → Reflexionar.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Categoría del reto: Reinventar lo cotidiano. Mercado alcanzable ≈ Q 210 millones al año.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8–10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Fernanda Salazar</w:t>
            </w:r>
          </w:p>
        </w:tc>
        <w:tc>
          <w:tcPr>
            <w:tcW w:type="dxa" w:w="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2:30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Empatizar</w:t>
            </w:r>
          </w:p>
        </w:tc>
        <w:tc>
          <w:tcPr>
            <w:tcW w:type="dxa" w:w="6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28 encuestas organizadas con el mapa de empatía; 21 personas contrataron un trabajo en el año.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Tres datos: 90.5 % contrata por recomendación, 100 % nunca usó una app, 71.4 % teme que quede mal.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Leer una cita: “Robaron.”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11–13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Sebastián Aguilar</w:t>
            </w:r>
          </w:p>
        </w:tc>
        <w:tc>
          <w:tcPr>
            <w:tcW w:type="dxa" w:w="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2:30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Definir</w:t>
            </w:r>
          </w:p>
        </w:tc>
        <w:tc>
          <w:tcPr>
            <w:tcW w:type="dxa" w:w="6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Las 5 necesidades y la más relevante: que el trabajo quede bien hecho.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Matriz de priorización: P1 obtuvo 20 de 20.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Leer la pregunta “¿Cómo podríamos…?” y los tres supuestos que los datos tumbaron.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14–17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Alicia Mendoza</w:t>
            </w:r>
          </w:p>
        </w:tc>
        <w:tc>
          <w:tcPr>
            <w:tcW w:type="dxa" w:w="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3:00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Idear y la solución</w:t>
            </w:r>
          </w:p>
        </w:tc>
        <w:tc>
          <w:tcPr>
            <w:tcW w:type="dxa" w:w="6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18 ideas con SCAMPER y Pensar PO; la matriz separó ganadoras, locas, basura y pérdida de tiempo.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Los 4 pilares: carné QR, perfil con trabajos, garantía escrita y pago retenido.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Quién la usa: cliente, profesional y Handyman, con sus pasos.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18, 21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Mateo Salguero</w:t>
            </w:r>
          </w:p>
        </w:tc>
        <w:tc>
          <w:tcPr>
            <w:tcW w:type="dxa" w:w="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3:00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Prototipo y versión 2 (con demostración)</w:t>
            </w:r>
          </w:p>
        </w:tc>
        <w:tc>
          <w:tcPr>
            <w:tcW w:type="dxa" w:w="6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Mostrar la plataforma en vivo desde el teléfono: inicio → Emergencia → orden con QR.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Explicar que la versión 2 salió de las pruebas: soporte, urgencias, chat y app simple.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Plan B si falla el internet: usar las capturas de las diapositivas.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19–20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Fernanda Salazar</w:t>
            </w:r>
          </w:p>
        </w:tc>
        <w:tc>
          <w:tcPr>
            <w:tcW w:type="dxa" w:w="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1:30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Testear</w:t>
            </w:r>
          </w:p>
        </w:tc>
        <w:tc>
          <w:tcPr>
            <w:tcW w:type="dxa" w:w="6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18 personas probaron el prototipo; 14 de 18 esperan que Handyman se involucre si algo sale mal.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Cada hallazgo se convirtió en un cambio (diapositiva 20).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22–27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Santiago Spillari</w:t>
            </w:r>
          </w:p>
        </w:tc>
        <w:tc>
          <w:tcPr>
            <w:tcW w:type="dxa" w:w="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3:30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Lean Canvas: valor, precio, costos, canales y métricas</w:t>
            </w:r>
          </w:p>
        </w:tc>
        <w:tc>
          <w:tcPr>
            <w:tcW w:type="dxa" w:w="6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Ventaja distintiva: criterio de obra de Artefacto Creativo.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Precio de venta: el cliente paga Q 1,015, el profesional recibe Q 900 y Handyman ingresa Q 115.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Punto de equilibrio: Q 4,700 ÷ Q 63 ≈ 75 trabajos al mes. Canales y métricas clave.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22"/>
                <w:szCs w:val="22"/>
              </w:rPr>
              <w:t xml:space="preserve">9</w:t>
            </w:r>
          </w:p>
        </w:tc>
        <w:tc>
          <w:tcPr>
            <w:tcW w:type="dxa" w:w="11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28–30</w:t>
            </w:r>
          </w:p>
        </w:tc>
        <w:tc>
          <w:tcPr>
            <w:tcW w:type="dxa" w:w="23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Sebastián Aguilar y Mateo Salguero</w:t>
            </w:r>
          </w:p>
        </w:tc>
        <w:tc>
          <w:tcPr>
            <w:tcW w:type="dxa" w:w="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54C8"/>
                <w:sz w:val="19"/>
                <w:szCs w:val="19"/>
              </w:rPr>
              <w:t xml:space="preserve">2:00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9"/>
                <w:szCs w:val="19"/>
              </w:rPr>
              <w:t xml:space="preserve">Reflexión, próximos pasos y cierre</w:t>
            </w:r>
          </w:p>
        </w:tc>
        <w:tc>
          <w:tcPr>
            <w:tcW w:type="dxa" w:w="6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Sebastián: por qué funciona y cómo lo sabemos; qué aprendimos y a quién impactamos.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Mateo: próximos pasos y la invitación a escanear el QR. Frase final: “Empezamos por el problema, no por la solución”.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B1020"/>
          <w:sz w:val="24"/>
          <w:szCs w:val="24"/>
        </w:rPr>
        <w:t xml:space="preserve">Recomendaciones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34C63"/>
          <w:sz w:val="18"/>
          <w:szCs w:val="18"/>
        </w:rPr>
        <w:t xml:space="preserve">Storytelling: la historia de apertura y la cita “Robaron.” son el hilo; volver a ella al cerrar (“ese domingo, con Handyman…”).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34C63"/>
          <w:sz w:val="18"/>
          <w:szCs w:val="18"/>
        </w:rPr>
        <w:t xml:space="preserve">Cada integrante termina su bloque con una frase de transición que presenta al siguiente.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34C63"/>
          <w:sz w:val="18"/>
          <w:szCs w:val="18"/>
        </w:rPr>
        <w:t xml:space="preserve">Llevar la plataforma abierta en un teléfono con la sesión de cliente iniciada; si falla el internet, usar las capturas de las diapositivas 18 y 21.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34C63"/>
          <w:sz w:val="18"/>
          <w:szCs w:val="18"/>
        </w:rPr>
        <w:t xml:space="preserve">Preguntas probables: ¿cómo verifican a los profesionales?, ¿qué pasa si nadie acepta una emergencia?, ¿por qué 10 % de comisión?, ¿cómo compiten con el boca a boca? Las respuestas están en las notas del presentador.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34C63"/>
          <w:sz w:val="18"/>
          <w:szCs w:val="18"/>
        </w:rPr>
        <w:t xml:space="preserve">Ensayar con cronómetro: si un bloque pasa de su tiempo, recortar ejemplos, no datos.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2026-10-28T01:47:47.251Z</dcterms:created>
  <dcterms:modified xsi:type="dcterms:W3CDTF">2026-10-28T01:47:47.253Z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