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Verdana" w:hAnsi="Verdana"/>
          <w:b/>
          <w:sz w:val="18"/>
          <w:szCs w:val="18"/>
        </w:rPr>
      </w:pPr>
    </w:p>
    <w:p>
      <w:pPr>
        <w:rPr>
          <w:rFonts w:ascii="Verdana" w:hAnsi="Verdana"/>
          <w:b/>
          <w:sz w:val="18"/>
          <w:szCs w:val="18"/>
        </w:rPr>
      </w:pPr>
    </w:p>
    <w:p>
      <w:pPr>
        <w:jc w:val="center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 xml:space="preserve">FACULTAD MATCOM. DEPARTAMENTO PROGRAMACION. </w:t>
      </w:r>
    </w:p>
    <w:p>
      <w:pPr>
        <w:jc w:val="center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ASIGNATURA: MATEMAÁTICA DISCRETA II</w:t>
      </w:r>
    </w:p>
    <w:p>
      <w:pPr>
        <w:jc w:val="center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CURSO 202</w:t>
      </w:r>
      <w:r>
        <w:rPr>
          <w:rFonts w:ascii="Verdana" w:hAnsi="Verdana"/>
          <w:b/>
          <w:sz w:val="18"/>
          <w:szCs w:val="18"/>
        </w:rPr>
        <w:t>4</w:t>
      </w:r>
    </w:p>
    <w:p>
      <w:pPr>
        <w:rPr>
          <w:rFonts w:ascii="Verdana" w:hAnsi="Verdana"/>
          <w:b/>
          <w:sz w:val="18"/>
          <w:szCs w:val="18"/>
        </w:rPr>
      </w:pPr>
    </w:p>
    <w:p>
      <w:pPr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OBJETIVOS</w:t>
      </w:r>
    </w:p>
    <w:p>
      <w:pPr>
        <w:rPr>
          <w:rFonts w:ascii="Verdana" w:hAnsi="Verdana"/>
          <w:b/>
          <w:sz w:val="18"/>
          <w:szCs w:val="18"/>
        </w:rPr>
      </w:pPr>
    </w:p>
    <w:p>
      <w:pPr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Organización del curso escolar 202</w:t>
      </w:r>
      <w:r>
        <w:rPr>
          <w:rFonts w:ascii="Verdana" w:hAnsi="Verdana"/>
          <w:b/>
          <w:sz w:val="18"/>
          <w:szCs w:val="18"/>
        </w:rPr>
        <w:t>4</w:t>
      </w:r>
    </w:p>
    <w:p>
      <w:pPr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Reuniones Metodológicas</w:t>
      </w:r>
    </w:p>
    <w:p>
      <w:pPr>
        <w:rPr>
          <w:rFonts w:ascii="Verdana" w:hAnsi="Verdana"/>
          <w:b/>
          <w:sz w:val="18"/>
          <w:szCs w:val="18"/>
        </w:rPr>
      </w:pPr>
    </w:p>
    <w:p>
      <w:pPr>
        <w:rPr>
          <w:rFonts w:ascii="Verdana" w:hAnsi="Verdana"/>
          <w:b/>
          <w:sz w:val="18"/>
          <w:szCs w:val="18"/>
        </w:rPr>
      </w:pPr>
    </w:p>
    <w:tbl>
      <w:tblPr>
        <w:tblStyle w:val="3"/>
        <w:tblW w:w="1006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2149"/>
        <w:gridCol w:w="1695"/>
        <w:gridCol w:w="1792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8" w:type="dxa"/>
            <w:tcBorders>
              <w:top w:val="double" w:color="C0C0C0" w:sz="0" w:space="0"/>
              <w:left w:val="double" w:color="C0C0C0" w:sz="0" w:space="0"/>
              <w:bottom w:val="double" w:color="C0C0C0" w:sz="2" w:space="0"/>
            </w:tcBorders>
            <w:shd w:val="clear" w:color="auto" w:fill="E6E6E6"/>
          </w:tcPr>
          <w:p>
            <w:pPr>
              <w:snapToGrid w:val="0"/>
              <w:spacing w:before="120" w:after="120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Tema</w:t>
            </w:r>
          </w:p>
        </w:tc>
        <w:tc>
          <w:tcPr>
            <w:tcW w:w="2149" w:type="dxa"/>
            <w:tcBorders>
              <w:top w:val="double" w:color="C0C0C0" w:sz="0" w:space="0"/>
              <w:left w:val="double" w:color="C0C0C0" w:sz="0" w:space="0"/>
              <w:bottom w:val="double" w:color="C0C0C0" w:sz="2" w:space="0"/>
              <w:right w:val="double" w:color="C0C0C0" w:sz="0" w:space="0"/>
            </w:tcBorders>
            <w:shd w:val="clear" w:color="auto" w:fill="E6E6E6"/>
          </w:tcPr>
          <w:p>
            <w:pPr>
              <w:snapToGrid w:val="0"/>
              <w:spacing w:before="120" w:after="120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Ponente</w:t>
            </w:r>
          </w:p>
        </w:tc>
        <w:tc>
          <w:tcPr>
            <w:tcW w:w="1695" w:type="dxa"/>
            <w:tcBorders>
              <w:top w:val="double" w:color="C0C0C0" w:sz="0" w:space="0"/>
              <w:left w:val="double" w:color="C0C0C0" w:sz="0" w:space="0"/>
              <w:bottom w:val="double" w:color="C0C0C0" w:sz="2" w:space="0"/>
              <w:right w:val="double" w:color="C0C0C0" w:sz="0" w:space="0"/>
            </w:tcBorders>
            <w:shd w:val="clear" w:color="auto" w:fill="E6E6E6"/>
          </w:tcPr>
          <w:p>
            <w:pPr>
              <w:snapToGrid w:val="0"/>
              <w:spacing w:before="120" w:after="120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Fecha</w:t>
            </w:r>
          </w:p>
        </w:tc>
        <w:tc>
          <w:tcPr>
            <w:tcW w:w="1792" w:type="dxa"/>
            <w:tcBorders>
              <w:top w:val="double" w:color="C0C0C0" w:sz="0" w:space="0"/>
              <w:left w:val="double" w:color="C0C0C0" w:sz="0" w:space="0"/>
              <w:bottom w:val="double" w:color="C0C0C0" w:sz="2" w:space="0"/>
              <w:right w:val="double" w:color="C0C0C0" w:sz="0" w:space="0"/>
            </w:tcBorders>
            <w:shd w:val="clear" w:color="auto" w:fill="E6E6E6"/>
          </w:tcPr>
          <w:p>
            <w:pPr>
              <w:snapToGrid w:val="0"/>
              <w:spacing w:before="120" w:after="120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Actividad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9" w:hRule="atLeast"/>
          <w:jc w:val="center"/>
        </w:trPr>
        <w:tc>
          <w:tcPr>
            <w:tcW w:w="4428" w:type="dxa"/>
            <w:tcBorders>
              <w:top w:val="double" w:color="C0C0C0" w:sz="2" w:space="0"/>
              <w:left w:val="double" w:color="C0C0C0" w:sz="2" w:space="0"/>
              <w:bottom w:val="double" w:color="C0C0C0" w:sz="2" w:space="0"/>
              <w:right w:val="double" w:color="C0C0C0" w:sz="2" w:space="0"/>
            </w:tcBorders>
            <w:shd w:val="clear" w:color="auto" w:fill="FFFFFF"/>
          </w:tcPr>
          <w:p>
            <w:pPr>
              <w:snapToGrid w:val="0"/>
              <w:spacing w:before="60" w:after="60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Reunión de inicio de curso; organización del trabajo docente; planteamiento del cronograma de clases y temas a abordar.</w:t>
            </w:r>
          </w:p>
        </w:tc>
        <w:tc>
          <w:tcPr>
            <w:tcW w:w="2149" w:type="dxa"/>
            <w:tcBorders>
              <w:top w:val="double" w:color="C0C0C0" w:sz="2" w:space="0"/>
              <w:left w:val="double" w:color="C0C0C0" w:sz="2" w:space="0"/>
              <w:bottom w:val="double" w:color="C0C0C0" w:sz="2" w:space="0"/>
              <w:right w:val="double" w:color="C0C0C0" w:sz="2" w:space="0"/>
            </w:tcBorders>
            <w:shd w:val="clear" w:color="auto" w:fill="FFFFFF"/>
            <w:vAlign w:val="center"/>
          </w:tcPr>
          <w:p>
            <w:pPr>
              <w:snapToGrid w:val="0"/>
              <w:spacing w:before="120" w:after="120"/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Yudivian Almeida</w:t>
            </w:r>
          </w:p>
        </w:tc>
        <w:tc>
          <w:tcPr>
            <w:tcW w:w="1695" w:type="dxa"/>
            <w:tcBorders>
              <w:top w:val="double" w:color="C0C0C0" w:sz="2" w:space="0"/>
              <w:left w:val="double" w:color="C0C0C0" w:sz="2" w:space="0"/>
              <w:bottom w:val="double" w:color="C0C0C0" w:sz="2" w:space="0"/>
              <w:right w:val="double" w:color="C0C0C0" w:sz="2" w:space="0"/>
            </w:tcBorders>
            <w:shd w:val="clear" w:color="auto" w:fill="FFFFFF"/>
            <w:vAlign w:val="center"/>
          </w:tcPr>
          <w:p>
            <w:pPr>
              <w:snapToGrid w:val="0"/>
              <w:spacing w:before="120" w:after="120"/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Semana 1</w:t>
            </w:r>
          </w:p>
        </w:tc>
        <w:tc>
          <w:tcPr>
            <w:tcW w:w="1792" w:type="dxa"/>
            <w:tcBorders>
              <w:top w:val="double" w:color="C0C0C0" w:sz="2" w:space="0"/>
              <w:left w:val="double" w:color="C0C0C0" w:sz="2" w:space="0"/>
              <w:bottom w:val="double" w:color="C0C0C0" w:sz="2" w:space="0"/>
              <w:right w:val="double" w:color="C0C0C0" w:sz="2" w:space="0"/>
            </w:tcBorders>
            <w:shd w:val="clear" w:color="auto" w:fill="FFFFFF"/>
          </w:tcPr>
          <w:p>
            <w:pPr>
              <w:snapToGrid w:val="0"/>
              <w:spacing w:before="120" w:after="120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Reunión Metodológica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25" w:hRule="exact"/>
          <w:jc w:val="center"/>
        </w:trPr>
        <w:tc>
          <w:tcPr>
            <w:tcW w:w="4428" w:type="dxa"/>
            <w:tcBorders>
              <w:top w:val="double" w:color="C0C0C0" w:sz="0" w:space="0"/>
              <w:left w:val="double" w:color="C0C0C0" w:sz="0" w:space="0"/>
              <w:bottom w:val="double" w:color="C0C0C0" w:sz="0" w:space="0"/>
            </w:tcBorders>
            <w:vAlign w:val="center"/>
          </w:tcPr>
          <w:p>
            <w:pPr>
              <w:snapToGrid w:val="0"/>
              <w:spacing w:before="60" w:after="6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Reunión para plantear las propuestas a exámen para el primer TC </w:t>
            </w:r>
            <w:r>
              <w:rPr>
                <w:rFonts w:ascii="Verdana" w:hAnsi="Verdana"/>
                <w:sz w:val="18"/>
                <w:szCs w:val="18"/>
              </w:rPr>
              <w:t xml:space="preserve">y </w:t>
            </w:r>
            <w:r>
              <w:rPr>
                <w:rFonts w:ascii="Verdana" w:hAnsi="Verdana"/>
                <w:sz w:val="18"/>
                <w:szCs w:val="18"/>
              </w:rPr>
              <w:t xml:space="preserve">segundo TC de la asignatura, </w:t>
            </w:r>
          </w:p>
        </w:tc>
        <w:tc>
          <w:tcPr>
            <w:tcW w:w="2149" w:type="dxa"/>
            <w:tcBorders>
              <w:top w:val="double" w:color="C0C0C0" w:sz="0" w:space="0"/>
              <w:left w:val="double" w:color="C0C0C0" w:sz="0" w:space="0"/>
              <w:bottom w:val="double" w:color="C0C0C0" w:sz="0" w:space="0"/>
              <w:right w:val="double" w:color="C0C0C0" w:sz="0" w:space="0"/>
            </w:tcBorders>
            <w:vAlign w:val="center"/>
          </w:tcPr>
          <w:p>
            <w:pPr>
              <w:snapToGrid w:val="0"/>
              <w:spacing w:before="120" w:after="120"/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Rodrigo García, David García</w:t>
            </w:r>
          </w:p>
        </w:tc>
        <w:tc>
          <w:tcPr>
            <w:tcW w:w="1695" w:type="dxa"/>
            <w:tcBorders>
              <w:top w:val="double" w:color="C0C0C0" w:sz="0" w:space="0"/>
              <w:left w:val="double" w:color="C0C0C0" w:sz="0" w:space="0"/>
              <w:bottom w:val="double" w:color="C0C0C0" w:sz="0" w:space="0"/>
              <w:right w:val="double" w:color="C0C0C0" w:sz="0" w:space="0"/>
            </w:tcBorders>
            <w:vAlign w:val="center"/>
          </w:tcPr>
          <w:p>
            <w:pPr>
              <w:snapToGrid w:val="0"/>
              <w:spacing w:before="120" w:after="120"/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Semana 5</w:t>
            </w:r>
          </w:p>
        </w:tc>
        <w:tc>
          <w:tcPr>
            <w:tcW w:w="1792" w:type="dxa"/>
            <w:tcBorders>
              <w:top w:val="double" w:color="C0C0C0" w:sz="0" w:space="0"/>
              <w:left w:val="double" w:color="C0C0C0" w:sz="0" w:space="0"/>
              <w:bottom w:val="double" w:color="C0C0C0" w:sz="0" w:space="0"/>
              <w:right w:val="double" w:color="C0C0C0" w:sz="0" w:space="0"/>
            </w:tcBorders>
            <w:vAlign w:val="center"/>
          </w:tcPr>
          <w:p>
            <w:pPr>
              <w:snapToGrid w:val="0"/>
              <w:spacing w:before="120" w:after="120"/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Reunión Metodológica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25" w:hRule="exact"/>
          <w:jc w:val="center"/>
        </w:trPr>
        <w:tc>
          <w:tcPr>
            <w:tcW w:w="4428" w:type="dxa"/>
            <w:tcBorders>
              <w:top w:val="double" w:color="C0C0C0" w:sz="0" w:space="0"/>
              <w:left w:val="double" w:color="C0C0C0" w:sz="0" w:space="0"/>
              <w:bottom w:val="double" w:color="C0C0C0" w:sz="0" w:space="0"/>
            </w:tcBorders>
            <w:vAlign w:val="center"/>
          </w:tcPr>
          <w:p>
            <w:pPr>
              <w:snapToGrid w:val="0"/>
              <w:spacing w:before="60" w:after="6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Reunión para</w:t>
            </w:r>
            <w:r>
              <w:rPr>
                <w:rFonts w:ascii="Verdana" w:hAnsi="Verdana"/>
                <w:sz w:val="18"/>
                <w:szCs w:val="18"/>
              </w:rPr>
              <w:t xml:space="preserve"> analizar los resultados tras el primer tema de la asignatura y</w:t>
            </w:r>
            <w:r>
              <w:rPr>
                <w:rFonts w:ascii="Verdana" w:hAnsi="Verdana"/>
                <w:sz w:val="18"/>
                <w:szCs w:val="18"/>
              </w:rPr>
              <w:t xml:space="preserve"> plantear las propuestas a exámen para el tercer TC de la asignatura</w:t>
            </w:r>
          </w:p>
        </w:tc>
        <w:tc>
          <w:tcPr>
            <w:tcW w:w="2149" w:type="dxa"/>
            <w:tcBorders>
              <w:top w:val="double" w:color="C0C0C0" w:sz="0" w:space="0"/>
              <w:left w:val="double" w:color="C0C0C0" w:sz="0" w:space="0"/>
              <w:bottom w:val="double" w:color="C0C0C0" w:sz="0" w:space="0"/>
              <w:right w:val="double" w:color="C0C0C0" w:sz="0" w:space="0"/>
            </w:tcBorders>
            <w:vAlign w:val="center"/>
          </w:tcPr>
          <w:p>
            <w:pPr>
              <w:snapToGrid w:val="0"/>
              <w:spacing w:before="120" w:after="120"/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Alejandra Monzón,</w:t>
            </w:r>
            <w:bookmarkStart w:id="0" w:name="_GoBack"/>
            <w:bookmarkEnd w:id="0"/>
          </w:p>
        </w:tc>
        <w:tc>
          <w:tcPr>
            <w:tcW w:w="1695" w:type="dxa"/>
            <w:tcBorders>
              <w:top w:val="double" w:color="C0C0C0" w:sz="0" w:space="0"/>
              <w:left w:val="double" w:color="C0C0C0" w:sz="0" w:space="0"/>
              <w:bottom w:val="double" w:color="C0C0C0" w:sz="0" w:space="0"/>
              <w:right w:val="double" w:color="C0C0C0" w:sz="0" w:space="0"/>
            </w:tcBorders>
            <w:vAlign w:val="center"/>
          </w:tcPr>
          <w:p>
            <w:pPr>
              <w:snapToGrid w:val="0"/>
              <w:spacing w:before="120" w:after="120"/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Semana 11</w:t>
            </w:r>
          </w:p>
        </w:tc>
        <w:tc>
          <w:tcPr>
            <w:tcW w:w="1792" w:type="dxa"/>
            <w:tcBorders>
              <w:top w:val="double" w:color="C0C0C0" w:sz="0" w:space="0"/>
              <w:left w:val="double" w:color="C0C0C0" w:sz="0" w:space="0"/>
              <w:bottom w:val="double" w:color="C0C0C0" w:sz="0" w:space="0"/>
              <w:right w:val="double" w:color="C0C0C0" w:sz="0" w:space="0"/>
            </w:tcBorders>
            <w:vAlign w:val="center"/>
          </w:tcPr>
          <w:p>
            <w:pPr>
              <w:snapToGrid w:val="0"/>
              <w:spacing w:before="120" w:after="120"/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Reunión Metodológica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25" w:hRule="exact"/>
          <w:jc w:val="center"/>
        </w:trPr>
        <w:tc>
          <w:tcPr>
            <w:tcW w:w="4428" w:type="dxa"/>
            <w:tcBorders>
              <w:top w:val="double" w:color="C0C0C0" w:sz="0" w:space="0"/>
              <w:left w:val="double" w:color="C0C0C0" w:sz="0" w:space="0"/>
              <w:bottom w:val="double" w:color="C0C0C0" w:sz="0" w:space="0"/>
            </w:tcBorders>
            <w:vAlign w:val="center"/>
          </w:tcPr>
          <w:p>
            <w:pPr>
              <w:snapToGrid w:val="0"/>
              <w:spacing w:before="60" w:after="6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Reunión del cierre evaluativo, propuestas para prueba final en la convocatoria Ordinaris, Extraordinaria y Mundial</w:t>
            </w:r>
          </w:p>
        </w:tc>
        <w:tc>
          <w:tcPr>
            <w:tcW w:w="2149" w:type="dxa"/>
            <w:tcBorders>
              <w:top w:val="double" w:color="C0C0C0" w:sz="0" w:space="0"/>
              <w:left w:val="double" w:color="C0C0C0" w:sz="0" w:space="0"/>
              <w:bottom w:val="double" w:color="C0C0C0" w:sz="0" w:space="0"/>
              <w:right w:val="double" w:color="C0C0C0" w:sz="0" w:space="0"/>
            </w:tcBorders>
            <w:vAlign w:val="center"/>
          </w:tcPr>
          <w:p>
            <w:pPr>
              <w:snapToGrid w:val="0"/>
              <w:spacing w:before="120" w:after="120"/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Rodrigo García, David García</w:t>
            </w:r>
            <w:r>
              <w:rPr>
                <w:rFonts w:ascii="Verdana" w:hAnsi="Verdana"/>
                <w:sz w:val="18"/>
                <w:szCs w:val="18"/>
              </w:rPr>
              <w:t xml:space="preserve">, </w:t>
            </w:r>
            <w:r>
              <w:rPr>
                <w:rFonts w:ascii="Verdana" w:hAnsi="Verdana"/>
                <w:sz w:val="18"/>
                <w:szCs w:val="18"/>
              </w:rPr>
              <w:t>Alejandra Monzón</w:t>
            </w:r>
          </w:p>
        </w:tc>
        <w:tc>
          <w:tcPr>
            <w:tcW w:w="1695" w:type="dxa"/>
            <w:tcBorders>
              <w:top w:val="double" w:color="C0C0C0" w:sz="0" w:space="0"/>
              <w:left w:val="double" w:color="C0C0C0" w:sz="0" w:space="0"/>
              <w:bottom w:val="double" w:color="C0C0C0" w:sz="0" w:space="0"/>
              <w:right w:val="double" w:color="C0C0C0" w:sz="0" w:space="0"/>
            </w:tcBorders>
            <w:vAlign w:val="center"/>
          </w:tcPr>
          <w:p>
            <w:pPr>
              <w:snapToGrid w:val="0"/>
              <w:spacing w:before="120" w:after="120"/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Semana 12</w:t>
            </w:r>
          </w:p>
        </w:tc>
        <w:tc>
          <w:tcPr>
            <w:tcW w:w="1792" w:type="dxa"/>
            <w:tcBorders>
              <w:top w:val="double" w:color="C0C0C0" w:sz="0" w:space="0"/>
              <w:left w:val="double" w:color="C0C0C0" w:sz="0" w:space="0"/>
              <w:bottom w:val="double" w:color="C0C0C0" w:sz="0" w:space="0"/>
              <w:right w:val="double" w:color="C0C0C0" w:sz="0" w:space="0"/>
            </w:tcBorders>
            <w:vAlign w:val="center"/>
          </w:tcPr>
          <w:p>
            <w:pPr>
              <w:snapToGrid w:val="0"/>
              <w:spacing w:before="120" w:after="120"/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Reunión Metodológica</w:t>
            </w:r>
          </w:p>
        </w:tc>
      </w:tr>
    </w:tbl>
    <w:p>
      <w:pPr>
        <w:rPr>
          <w:rFonts w:ascii="Verdana" w:hAnsi="Verdana"/>
          <w:b/>
          <w:sz w:val="18"/>
          <w:szCs w:val="18"/>
        </w:rPr>
      </w:pPr>
    </w:p>
    <w:p>
      <w:pPr>
        <w:tabs>
          <w:tab w:val="left" w:pos="3255"/>
        </w:tabs>
        <w:rPr>
          <w:rFonts w:ascii="Verdana" w:hAnsi="Verdana"/>
          <w:sz w:val="18"/>
          <w:szCs w:val="18"/>
        </w:rPr>
      </w:pPr>
    </w:p>
    <w:p>
      <w:pPr>
        <w:rPr>
          <w:rFonts w:ascii="Verdana" w:hAnsi="Verdana"/>
          <w:sz w:val="18"/>
          <w:szCs w:val="18"/>
        </w:rPr>
      </w:pPr>
    </w:p>
    <w:p>
      <w:pPr>
        <w:rPr>
          <w:rFonts w:ascii="Verdana" w:hAnsi="Verdana"/>
          <w:b/>
          <w:sz w:val="18"/>
          <w:szCs w:val="18"/>
        </w:rPr>
      </w:pPr>
    </w:p>
    <w:p/>
    <w:sectPr>
      <w:pgSz w:w="12240" w:h="15840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DejaVu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aakar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Verdana">
    <w:altName w:val="Open Sans"/>
    <w:panose1 w:val="020B0604030504040204"/>
    <w:charset w:val="00"/>
    <w:family w:val="swiss"/>
    <w:pitch w:val="default"/>
    <w:sig w:usb0="00000000" w:usb1="00000000" w:usb2="00000010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Open Sans">
    <w:panose1 w:val="020B0606030504020204"/>
    <w:charset w:val="00"/>
    <w:family w:val="auto"/>
    <w:pitch w:val="default"/>
    <w:sig w:usb0="E00002EF" w:usb1="4000205B" w:usb2="00000028" w:usb3="00000000" w:csb0="200001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ejaVu Sans">
    <w:panose1 w:val="020B0603030804020204"/>
    <w:charset w:val="86"/>
    <w:family w:val="auto"/>
    <w:pitch w:val="default"/>
    <w:sig w:usb0="E7006EFF" w:usb1="D200FDFF" w:usb2="0A246029" w:usb3="0400200C" w:csb0="600001FF" w:csb1="DFFF0000"/>
  </w:font>
  <w:font w:name="aakar">
    <w:panose1 w:val="02000600040000000000"/>
    <w:charset w:val="00"/>
    <w:family w:val="auto"/>
    <w:pitch w:val="default"/>
    <w:sig w:usb0="80040001" w:usb1="00002000" w:usb2="00000000" w:usb3="00000000" w:csb0="20000000" w:csb1="8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425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5C18"/>
    <w:rsid w:val="00066DA6"/>
    <w:rsid w:val="0007009D"/>
    <w:rsid w:val="00437B44"/>
    <w:rsid w:val="00455805"/>
    <w:rsid w:val="00533C22"/>
    <w:rsid w:val="0055237B"/>
    <w:rsid w:val="005C7799"/>
    <w:rsid w:val="006F1484"/>
    <w:rsid w:val="00711F97"/>
    <w:rsid w:val="007A5C18"/>
    <w:rsid w:val="007C07D5"/>
    <w:rsid w:val="00B01C86"/>
    <w:rsid w:val="00C310D0"/>
    <w:rsid w:val="00C5011A"/>
    <w:rsid w:val="00C65569"/>
    <w:rsid w:val="00D55B38"/>
    <w:rsid w:val="00E03DA2"/>
    <w:rsid w:val="00F858D4"/>
    <w:rsid w:val="253FEDDB"/>
    <w:rsid w:val="27BF2BC9"/>
    <w:rsid w:val="36BB04FF"/>
    <w:rsid w:val="4FF42E49"/>
    <w:rsid w:val="5BDB839D"/>
    <w:rsid w:val="678FB803"/>
    <w:rsid w:val="6FBF54BF"/>
    <w:rsid w:val="75FD9C8C"/>
    <w:rsid w:val="A99DA813"/>
    <w:rsid w:val="B2FF1400"/>
    <w:rsid w:val="BCEE81F1"/>
    <w:rsid w:val="C4F3FA77"/>
    <w:rsid w:val="CFFF8741"/>
    <w:rsid w:val="F8FBDDF3"/>
    <w:rsid w:val="FAE7FC7D"/>
    <w:rsid w:val="FDAF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s-ES" w:eastAsia="es-E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Home</Company>
  <Pages>1</Pages>
  <Words>169</Words>
  <Characters>934</Characters>
  <Lines>7</Lines>
  <Paragraphs>2</Paragraphs>
  <TotalTime>0</TotalTime>
  <ScaleCrop>false</ScaleCrop>
  <LinksUpToDate>false</LinksUpToDate>
  <CharactersWithSpaces>1101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2015-08-31T15:29:00Z</dcterms:created>
  <dc:creator>Gloria Fariñas</dc:creator>
  <cp:lastModifiedBy>lexie</cp:lastModifiedBy>
  <dcterms:modified xsi:type="dcterms:W3CDTF">2024-12-08T17:45:04Z</dcterms:modified>
  <dc:title>Anexo II b: Sesiones Científicas y metodológicas (3er y 4to miércoles de cada mes)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