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45"/>
        <w:gridCol w:w="2267"/>
        <w:gridCol w:w="1756"/>
        <w:gridCol w:w="1701"/>
        <w:gridCol w:w="1579"/>
        <w:gridCol w:w="1080"/>
      </w:tblGrid>
      <w:tr>
        <w:trPr>
          <w:trHeight w:val="600" w:hRule="auto"/>
          <w:tblHeader/>
        </w:trPr>
        header1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Heterogeneidad del efecto DiD por predominancia identitaria baseline</w:t>
            </w:r>
          </w:p>
        </w:tc>
      </w:tr>
      <w:tr>
        <w:trPr>
          <w:trHeight w:val="600" w:hRule="auto"/>
          <w:tblHeader/>
        </w:trPr>
        header2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Modelos mixtos DiD (Modelo C) estratificados por tercil</w:t>
            </w:r>
          </w:p>
        </w:tc>
      </w:tr>
      <w:tr>
        <w:trPr>
          <w:trHeight w:val="599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Variable dependiente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Tercil predominancia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β (SE)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IC 95%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597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Justifica violencia de control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0.220 (0.392)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[-0.550, 0.990]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0.574702046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529</w:t>
            </w:r>
          </w:p>
        </w:tc>
      </w:tr>
      <w:tr>
        <w:trPr>
          <w:trHeight w:val="597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Equilibrio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-0.596 (0.477)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[-1.532, 0.340]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0.211625305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680</w:t>
            </w:r>
          </w:p>
        </w:tc>
      </w:tr>
      <w:tr>
        <w:trPr>
          <w:trHeight w:val="597" w:hRule="auto"/>
        </w:trPr>
        body3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Étnica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0.995 (0.361)**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[0.286, 1.704]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0.005966289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743</w:t>
            </w:r>
          </w:p>
        </w:tc>
      </w:tr>
      <w:tr>
        <w:trPr>
          <w:trHeight w:val="597" w:hRule="auto"/>
        </w:trPr>
        body4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Justifica violencia de cambio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Nacional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0.474 (0.340)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[-0.194, 1.141]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0.164247212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529</w:t>
            </w:r>
          </w:p>
        </w:tc>
      </w:tr>
      <w:tr>
        <w:trPr>
          <w:trHeight w:val="597" w:hRule="auto"/>
        </w:trPr>
        body5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Equilibrio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0.122 (0.445)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[-0.751, 0.996]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0.783421550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680</w:t>
            </w:r>
          </w:p>
        </w:tc>
      </w:tr>
      <w:tr>
        <w:trPr>
          <w:trHeight w:val="597" w:hRule="auto"/>
        </w:trPr>
        body6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Étnica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0.859 (0.350)*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[0.173, 1.545]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0.014153817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743</w:t>
            </w:r>
          </w:p>
        </w:tc>
      </w:tr>
      <w:tr>
        <w:trPr>
          <w:trHeight w:val="360" w:hRule="auto"/>
        </w:trPr>
        footer1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Nota: Predominancia = (id_étnica − id_nacional) fijada en baseline (ola 2).</w:t>
            </w:r>
          </w:p>
        </w:tc>
      </w:tr>
      <w:tr>
        <w:trPr>
          <w:trHeight w:val="360" w:hRule="auto"/>
        </w:trPr>
        footer2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Tercil 1 (Nacional) = predomina id. nacional; Tercil 2 (Equilibrio) = mixta; Tercil 3 (Étnica) = predomina id. étnica.</w:t>
            </w:r>
          </w:p>
        </w:tc>
      </w:tr>
      <w:tr>
        <w:trPr>
          <w:trHeight w:val="360" w:hRule="auto"/>
        </w:trPr>
        footer3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Controles: mujer + edad + urbano_rural + id_chile + id_causa + perc_desigualdad + apoyo_movil. *** p&lt;0.001, ** p&lt;0.01, * p&lt;0.05</w:t>
            </w:r>
          </w:p>
        </w:tc>
      </w:tr>
      <w:tr>
        <w:trPr>
          <w:trHeight w:val="360" w:hRule="auto"/>
        </w:trPr>
        footer4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Fuente: ELRI panel balanceado (olas 2-4). Término DiD: periodo×indigeneous×zona_decreto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matdknu</cp:lastModifiedBy>
  <cp:revision>9</cp:revision>
  <dcterms:created xsi:type="dcterms:W3CDTF">2017-02-28T11:18:00Z</dcterms:created>
  <dcterms:modified xsi:type="dcterms:W3CDTF">2026-08-17T14:06:33Z</dcterms:modified>
  <cp:category/>
</cp:coreProperties>
</file>