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Grupo etario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18–24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25–34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35–44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45–54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55–64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 y más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Zona urbano-rural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Zona de excepción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Chile (1–5)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4.43 ± 0.82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4.51 ± 0.82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4.36 ± 0.83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Identificación con la causa indígena (1–5)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± 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± 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± 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± SD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test; Wilcoxon rank sum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2026-08-31T12:28:10Z</dcterms:created>
  <dcterms:modified xsi:type="dcterms:W3CDTF">2026-08-31T12:28:10Z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