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(59%)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id_indi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(9.3%)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(9.1%)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 (40%)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id_causa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(9.0%)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(42%)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(49%)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2026-05-24T18:37:39Z</dcterms:created>
  <dcterms:modified xsi:type="dcterms:W3CDTF">2026-05-24T18:37:39Z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