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39.png" ContentType="image/png"/>
  <Override PartName="/word/media/rId119.png" ContentType="image/png"/>
  <Override PartName="/word/media/rId89.png" ContentType="image/png"/>
  <Override PartName="/word/media/rId84.png" ContentType="image/png"/>
  <Override PartName="/word/media/rId68.png" ContentType="image/png"/>
  <Override PartName="/word/media/rId96.png" ContentType="image/png"/>
  <Override PartName="/word/media/rId114.png" ContentType="image/png"/>
  <Override PartName="/word/media/rId62.png" ContentType="image/png"/>
  <Override PartName="/word/media/rId7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Apertura</w:t>
      </w:r>
      <w:r>
        <w:t xml:space="preserve"> </w:t>
      </w:r>
      <w:r>
        <w:t xml:space="preserve">normativa</w:t>
      </w:r>
      <w:r>
        <w:t xml:space="preserve"> </w:t>
      </w:r>
      <w:r>
        <w:t xml:space="preserve">y</w:t>
      </w:r>
      <w:r>
        <w:t xml:space="preserve"> </w:t>
      </w:r>
      <w:r>
        <w:t xml:space="preserve">contención</w:t>
      </w:r>
      <w:r>
        <w:t xml:space="preserve"> </w:t>
      </w:r>
      <w:r>
        <w:t xml:space="preserve">fallida:</w:t>
      </w:r>
      <w:r>
        <w:t xml:space="preserve"> </w:t>
      </w:r>
      <w:r>
        <w:t xml:space="preserve">estallido</w:t>
      </w:r>
      <w:r>
        <w:t xml:space="preserve"> </w:t>
      </w:r>
      <w:r>
        <w:t xml:space="preserve">social,</w:t>
      </w:r>
      <w:r>
        <w:t xml:space="preserve"> </w:t>
      </w:r>
      <w:r>
        <w:t xml:space="preserve">estado</w:t>
      </w:r>
      <w:r>
        <w:t xml:space="preserve"> </w:t>
      </w:r>
      <w:r>
        <w:t xml:space="preserve">de</w:t>
      </w:r>
      <w:r>
        <w:t xml:space="preserve"> </w:t>
      </w:r>
      <w:r>
        <w:t xml:space="preserve">excepción</w:t>
      </w:r>
      <w:r>
        <w:t xml:space="preserve"> </w:t>
      </w:r>
      <w:r>
        <w:t xml:space="preserve">y</w:t>
      </w:r>
      <w:r>
        <w:t xml:space="preserve"> </w:t>
      </w:r>
      <w:r>
        <w:t xml:space="preserve">justificación</w:t>
      </w:r>
      <w:r>
        <w:t xml:space="preserve"> </w:t>
      </w:r>
      <w:r>
        <w:t xml:space="preserve">de</w:t>
      </w:r>
      <w:r>
        <w:t xml:space="preserve"> </w:t>
      </w:r>
      <w:r>
        <w:t xml:space="preserve">la</w:t>
      </w:r>
      <w:r>
        <w:t xml:space="preserve"> </w:t>
      </w:r>
      <w:r>
        <w:t xml:space="preserve">violencia</w:t>
      </w:r>
      <w:r>
        <w:t xml:space="preserve"> </w:t>
      </w:r>
      <w:r>
        <w:t xml:space="preserve">en</w:t>
      </w:r>
      <w:r>
        <w:t xml:space="preserve"> </w:t>
      </w:r>
      <w:r>
        <w:t xml:space="preserve">el</w:t>
      </w:r>
      <w:r>
        <w:t xml:space="preserve"> </w:t>
      </w:r>
      <w:r>
        <w:t xml:space="preserve">conflicto</w:t>
      </w:r>
      <w:r>
        <w:t xml:space="preserve"> </w:t>
      </w:r>
      <w:r>
        <w:t xml:space="preserve">mapuche</w:t>
      </w:r>
      <w:r>
        <w:t xml:space="preserve"> </w:t>
      </w:r>
      <w:r>
        <w:t xml:space="preserve">(2018–2023)</w:t>
      </w:r>
    </w:p>
    <w:p>
      <w:pPr>
        <w:pStyle w:val="Author"/>
      </w:pPr>
      <w:r>
        <w:t xml:space="preserve">Matías</w:t>
      </w:r>
      <w:r>
        <w:t xml:space="preserve"> </w:t>
      </w:r>
      <w:r>
        <w:t xml:space="preserve">Deneken</w:t>
      </w:r>
    </w:p>
    <w:p>
      <w:pPr>
        <w:pStyle w:val="Author"/>
      </w:pPr>
      <w:r>
        <w:t xml:space="preserve">Federico</w:t>
      </w:r>
      <w:r>
        <w:t xml:space="preserve"> </w:t>
      </w:r>
      <w:r>
        <w:t xml:space="preserve">Díaz</w:t>
      </w:r>
    </w:p>
    <w:p>
      <w:pPr>
        <w:pStyle w:val="Date"/>
      </w:pPr>
      <w:r>
        <w:t xml:space="preserve">2026-05-26</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"1-3" \h \z \u</w:instrText>
            <w:fldChar w:fldCharType="separate"/>
            <w:fldChar w:fldCharType="end"/>
          </w:r>
        </w:p>
      </w:sdtContent>
    </w:sdt>
    <w:bookmarkStart w:id="20" w:name="resumen"/>
    <w:p>
      <w:pPr>
        <w:pStyle w:val="Heading2"/>
      </w:pPr>
      <w:r>
        <w:t xml:space="preserve">Resumen</w:t>
      </w:r>
    </w:p>
    <w:bookmarkEnd w:id="20"/>
    <w:bookmarkStart w:id="21" w:name="introducción"/>
    <w:p>
      <w:pPr>
        <w:pStyle w:val="Heading1"/>
      </w:pPr>
      <w:r>
        <w:t xml:space="preserve">1. Introducción</w:t>
      </w:r>
    </w:p>
    <w:p>
      <w:pPr>
        <w:pStyle w:val="FirstParagraph"/>
      </w:pPr>
      <w:r>
        <w:t xml:space="preserve">El conflicto entre el Estado chileno y el pueblo mapuche tiene raíces históricas profundas que se remontan a la ocupación militar de la Araucanía a fines del siglo XIX y a un proceso sostenido de usurpación territorial</w:t>
      </w:r>
      <w:r>
        <w:t xml:space="preserve"> </w:t>
      </w:r>
      <w:r>
        <w:t xml:space="preserve">(Bengoa, 2002)</w:t>
      </w:r>
      <w:r>
        <w:t xml:space="preserve">. Desde mediados de los 2000, este conflicto se ha intensificado: la militarización de la Macrozona Sur, los enfrentamientos entre comunidades indígenas y fuerzas policiales, y las diversas formas de resistencia territorial mapuche conforman un escenario de tensión crónica. Las desigualdades estructurales que subyacen a esta tensión — en acceso a tierra, reconocimiento político y condiciones socioeconómicas — han sido ampliamente documentadas</w:t>
      </w:r>
      <w:r>
        <w:t xml:space="preserve"> </w:t>
      </w:r>
      <w:r>
        <w:t xml:space="preserve">(Richards, 2013)</w:t>
      </w:r>
      <w:r>
        <w:t xml:space="preserve">, pero la relación entre las intervenciones coercitivas del Estado y las actitudes de la población civil hacia la violencia permanece como un vacío analítico relevante. ¿Cómo responden las personas — indígenas y no indígenas, cercanas y lejanas al conflicto — cuando el Estado institucionaliza la coerción en su territorio?</w:t>
      </w:r>
    </w:p>
    <w:p>
      <w:pPr>
        <w:pStyle w:val="BodyText"/>
      </w:pPr>
      <w:r>
        <w:t xml:space="preserve">Esta pregunta adquirió una urgencia nueva entre 2018 y 2023, período en el que la población chilena experimentó una secuencia de shocks políticos con el potencial de alterar las actitudes hacia la violencia de formas contradictorias. El 18 de octubre de 2019 se iniciaron las protestas masivas conocidas como el estallido social (social outbreak), un ciclo de movilización que desbordó las demandas socioeconómicas iniciales para incorporar reivindicaciones históricas de los pueblos indígenas, el rechazo a la represión policial y un cuestionamiento generalizado a la legitimidad del orden institucional. En este proceso, la violencia se politizó como recurso de transformación social: actos que antes se consideraban inaceptables — barricadas, enfrentamientos con la policía, destrucción de infraestructura — adquirieron un grado de legitimidad discursiva sin precedentes en la historia reciente del país. Esta apertura normativa no fue exclusiva del conflicto mapuche ni de un territorio particular; fue un fenómeno nacional que reconfiguró los límites de lo que amplios segmentos de la población consideraban justificable.</w:t>
      </w:r>
    </w:p>
    <w:p>
      <w:pPr>
        <w:pStyle w:val="BodyText"/>
      </w:pPr>
      <w:r>
        <w:t xml:space="preserve">La respuesta institucional al estallido abrió, inicialmente, un canal de transformación política. En octubre de 2020, el plebiscito por una nueva constitución resultó ganador con un 78% de apoyo. En 2021, la elección de la Convención Constitucional incluyó, por primera vez, escaños reservados para pueblos indígenas, otorgando representación institucional a demandas históricamente excluidas del debate constitucional. Sin embargo, la violencia en las zonas con mayor concentración de población indígena no cesó. Los ataques incendiarios, las tomas de terreno y los enfrentamientos con fuerzas policiales continuaron y, en algunos casos, se intensificaron durante 2021, generando una presión política que derivó en una respuesta coercitiva directa: el 12 de octubre de 2021, el gobierno decretó el estado de excepción constitucional de emergencia para la Macrozona Sur, institucionalizando la presencia militar en las 53 comunas de las provincias de Cautín y Malleco (La Araucanía) y Arauco y Biobío (región del Biobío). A diferencia de la represión puntual y reactiva del estallido social, este decreto constituyó un dispositivo de coerción institucionalizada: presencia militar permanente, con protocolos de operación formales y una duración que, con sucesivas prórrogas, se extiende hasta el presente.</w:t>
      </w:r>
    </w:p>
    <w:p>
      <w:pPr>
        <w:pStyle w:val="BodyText"/>
      </w:pPr>
      <w:r>
        <w:t xml:space="preserve">El cierre del ciclo político completó la secuencia. En septiembre de 2022, el plebiscito de salida rechazó la propuesta de nueva constitución con un 62% de los votos, cerrando el canal institucional de cambio que el estallido había abierto. La población de la zona de conflicto quedó, así, en una doble clausura: la coerción sostenida del estado de excepción por un lado, y la falta de alternativas institucionales de transformación por otro. Esta configuración — coerción institucionalizada más clausura del canal institucional — define el contexto en el que se levantó la ola 4 de ELRI en 2023 y constituye el escenario natural del presente estudio.</w:t>
      </w:r>
    </w:p>
    <w:p>
      <w:pPr>
        <w:pStyle w:val="BodyText"/>
      </w:pPr>
      <w:r>
        <w:t xml:space="preserve">Estudios previos han comenzado a explorar los efectos actitudinales de la represión policial en Chile.</w:t>
      </w:r>
      <w:r>
        <w:t xml:space="preserve"> </w:t>
      </w:r>
      <w:r>
        <w:t xml:space="preserve">(</w:t>
      </w:r>
      <w:r>
        <w:rPr>
          <w:b/>
          <w:bCs/>
        </w:rPr>
        <w:t xml:space="preserve">disipavlic2024?</w:t>
      </w:r>
      <w:r>
        <w:t xml:space="preserve">)</w:t>
      </w:r>
      <w:r>
        <w:t xml:space="preserve"> </w:t>
      </w:r>
      <w:r>
        <w:t xml:space="preserve">mostraron, utilizando el panel ELSOC y un diseño de diferencias en diferencias doblemente robusto, que la exposición directa a protestas con represión policial activa durante el estallido social aumentó la justificación de violencia contra la policía en población no indígena. Sin embargo, permanece inexplorado si estos efectos son homogéneos entre grupos étnicos — particularmente entre indígenas y no indígenas, cuyas experiencias con la coerción estatal son estructuralmente distintas —, si persisten o se transforman cuando la coerción se institucionaliza en un territorio específico por un período prolongado, y a través de qué mecanismos operan. La pregunta de investigación que guía este artículo es: ¿en qué medida el estallido social y el período del estado de excepción se asocian con cambios diferenciales en la justificación de la violencia entre personas indígenas y no indígenas, según su cercanía territorial al conflicto, y cómo media la percepción de justicia procedimental en este proceso?</w:t>
      </w:r>
    </w:p>
    <w:p>
      <w:pPr>
        <w:pStyle w:val="BodyText"/>
      </w:pPr>
      <w:r>
        <w:t xml:space="preserve">El presente artículo aborda esta pregunta desde tres ejes conceptuales que se articulan en el diseño empírico: la identidad social como estructuradora de la evaluación de la violencia, la justicia procedimental como mecanismo de mediación entre coerción y actitudes, y la cercanía territorial al conflicto como condición de exposición diferencial al tratamiento. Las contribuciones son cuatro. Primero, constituye el primer análisis longitudinal con un diseño de panel espejo (indígenas y no indígenas) que captura los dos shocks secuenciales — estallido social y estado de excepción — con sus efectos diferenciales por identidad étnica y territorio. Segundo, introduce la distinción analítica entre justificación de la violencia orientada al control social (status quo) y al cambio social, mostrando que el estallido abrió una ventana normativa que el decreto no logró cerrar para quienes experimentan la coerción directamente. Tercero, descompone la justicia procedimental en percepción del trato al propio grupo (ingroup) y al otro grupo (outgroup), revelando que el estado de excepción se asoció con una mejora en la percepción ingroup entre indígenas en zona de excepción — hallazgo contraintuitivo que se interpreta como regularización institucional, no como benevolencia. Cuarto, aporta evidencia de mediación asimétrica: la justicia procedimental media la justificación de violencia de control social pero suprime parcialmente la de cambio social, indicando que el mismo mecanismo opera en direcciones opuestas según el tipo de violencia evaluado.</w:t>
      </w:r>
    </w:p>
    <w:p>
      <w:pPr>
        <w:pStyle w:val="BodyText"/>
      </w:pPr>
      <w:r>
        <w:t xml:space="preserve">El artículo se organiza así:</w:t>
      </w:r>
      <w:r>
        <w:t xml:space="preserve"> </w:t>
      </w:r>
      <w:hyperlink w:anchor="sec-marco">
        <w:r>
          <w:rPr>
            <w:rStyle w:val="Hyperlink"/>
          </w:rPr>
          <w:t xml:space="preserve">Sección 2</w:t>
        </w:r>
      </w:hyperlink>
      <w:r>
        <w:t xml:space="preserve"> </w:t>
      </w:r>
      <w:r>
        <w:t xml:space="preserve">presenta el marco teórico con cinco hipótesis organizadas en torno a la secuencia apertura → contención;</w:t>
      </w:r>
      <w:r>
        <w:t xml:space="preserve"> </w:t>
      </w:r>
      <w:hyperlink w:anchor="sec-datos">
        <w:r>
          <w:rPr>
            <w:rStyle w:val="Hyperlink"/>
          </w:rPr>
          <w:t xml:space="preserve">Sección 3</w:t>
        </w:r>
      </w:hyperlink>
      <w:r>
        <w:t xml:space="preserve"> </w:t>
      </w:r>
      <w:r>
        <w:t xml:space="preserve">describe el diseño, los datos y las variables;</w:t>
      </w:r>
      <w:r>
        <w:t xml:space="preserve"> </w:t>
      </w:r>
      <w:hyperlink w:anchor="sec-modelo">
        <w:r>
          <w:rPr>
            <w:rStyle w:val="Hyperlink"/>
          </w:rPr>
          <w:t xml:space="preserve">Sección 4</w:t>
        </w:r>
      </w:hyperlink>
      <w:r>
        <w:t xml:space="preserve"> </w:t>
      </w:r>
      <w:r>
        <w:t xml:space="preserve">formaliza los modelos;</w:t>
      </w:r>
      <w:r>
        <w:t xml:space="preserve"> </w:t>
      </w:r>
      <w:hyperlink w:anchor="sec-resultados">
        <w:r>
          <w:rPr>
            <w:rStyle w:val="Hyperlink"/>
          </w:rPr>
          <w:t xml:space="preserve">Sección 5</w:t>
        </w:r>
      </w:hyperlink>
      <w:r>
        <w:t xml:space="preserve"> </w:t>
      </w:r>
      <w:r>
        <w:t xml:space="preserve">presenta los resultados (descriptivos, DiD, mecanismo, heterogeneidad identitaria y plebiscito); la robustez figura en el Apéndice (</w:t>
      </w:r>
      <w:hyperlink w:anchor="sec-apendice-robustez">
        <w:r>
          <w:rPr>
            <w:rStyle w:val="Hyperlink"/>
          </w:rPr>
          <w:t xml:space="preserve">Sección 9.3</w:t>
        </w:r>
      </w:hyperlink>
      <w:r>
        <w:t xml:space="preserve">);</w:t>
      </w:r>
      <w:r>
        <w:t xml:space="preserve"> </w:t>
      </w:r>
      <w:hyperlink w:anchor="sec-discusion">
        <w:r>
          <w:rPr>
            <w:rStyle w:val="Hyperlink"/>
          </w:rPr>
          <w:t xml:space="preserve">Sección 6</w:t>
        </w:r>
      </w:hyperlink>
      <w:r>
        <w:t xml:space="preserve"> </w:t>
      </w:r>
      <w:r>
        <w:t xml:space="preserve">discute los hallazgos;</w:t>
      </w:r>
      <w:r>
        <w:t xml:space="preserve"> </w:t>
      </w:r>
      <w:hyperlink w:anchor="sec-limitaciones">
        <w:r>
          <w:rPr>
            <w:rStyle w:val="Hyperlink"/>
          </w:rPr>
          <w:t xml:space="preserve">Sección 7</w:t>
        </w:r>
      </w:hyperlink>
      <w:r>
        <w:t xml:space="preserve"> </w:t>
      </w:r>
      <w:r>
        <w:t xml:space="preserve">y</w:t>
      </w:r>
      <w:r>
        <w:t xml:space="preserve"> </w:t>
      </w:r>
      <w:hyperlink w:anchor="sec-conclusiones">
        <w:r>
          <w:rPr>
            <w:rStyle w:val="Hyperlink"/>
          </w:rPr>
          <w:t xml:space="preserve">Sección 8</w:t>
        </w:r>
      </w:hyperlink>
      <w:r>
        <w:t xml:space="preserve"> </w:t>
      </w:r>
      <w:r>
        <w:t xml:space="preserve">cierran con limitaciones e implicaciones.</w:t>
      </w:r>
    </w:p>
    <w:bookmarkEnd w:id="21"/>
    <w:bookmarkStart w:id="38" w:name="sec-marco"/>
    <w:p>
      <w:pPr>
        <w:pStyle w:val="Heading1"/>
      </w:pPr>
      <w:r>
        <w:t xml:space="preserve">2. Marco teórico</w:t>
      </w:r>
    </w:p>
    <w:bookmarkStart w:id="25" w:name="sec-sit"/>
    <w:p>
      <w:pPr>
        <w:pStyle w:val="Heading2"/>
      </w:pPr>
      <w:r>
        <w:t xml:space="preserve">2.1 Identidad social y conflicto intergrupal</w:t>
      </w:r>
    </w:p>
    <w:p>
      <w:pPr>
        <w:pStyle w:val="FirstParagraph"/>
      </w:pPr>
      <w:r>
        <w:t xml:space="preserve">La Teoría de Identidad Social (SIT) postula que los individuos derivan parte de su autoconcepto de su pertenencia a grupos sociales, generando favoritismo endogrupal y discriminación exogrupal</w:t>
      </w:r>
      <w:r>
        <w:t xml:space="preserve"> </w:t>
      </w:r>
      <w:r>
        <w:t xml:space="preserve">(Brewer, 2001; Tajfel &amp; Turner, 1979, 1986)</w:t>
      </w:r>
      <w:r>
        <w:t xml:space="preserve">. En contextos de conflicto activo, la saliencia identitaria aumenta y los juicios sobre la legitimidad de la violencia tienden a polarizarse según membresía grupal</w:t>
      </w:r>
      <w:r>
        <w:t xml:space="preserve"> </w:t>
      </w:r>
      <w:r>
        <w:t xml:space="preserve">(Reicher, 2004)</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1 (H1 — Simetría identitaria)</w:t>
            </w:r>
          </w:p>
        </w:tc>
      </w:tr>
      <w:tr>
        <w:trPr>
          <w:cantSplit/>
        </w:trPr>
        <w:tc>
          <w:tcPr>
            <w:tcMar>
              <w:top w:w="108" w:type="dxa"/>
              <w:bottom w:w="108" w:type="dxa"/>
            </w:tcMar>
          </w:tcPr>
          <w:p>
            <w:pPr>
              <w:pStyle w:val="BodyText"/>
            </w:pPr>
            <w:pPr>
              <w:spacing w:before="16" w:after="16"/>
            </w:pPr>
            <w:r>
              <w:t xml:space="preserve">Las personas indígenas justificarán más la violencia de cambio social y menos la de control social que las no indígenas, independientemente de la zona. id_causa e id_chile operarán como predictores espejo.</w:t>
            </w:r>
          </w:p>
        </w:tc>
      </w:tr>
    </w:tbl>
    <w:bookmarkEnd w:id="25"/>
    <w:bookmarkStart w:id="28" w:name="sec-apertura"/>
    <w:p>
      <w:pPr>
        <w:pStyle w:val="Heading2"/>
      </w:pPr>
      <w:r>
        <w:t xml:space="preserve">2.2 Apertura normativa: el estallido como expansión del repertorio</w:t>
      </w:r>
    </w:p>
    <w:p>
      <w:pPr>
        <w:pStyle w:val="FirstParagraph"/>
      </w:pPr>
      <w:r>
        <w:t xml:space="preserve">La literatura sobre ciclos de protesta describe fases de ascenso, pico y declive en la movilización colectiva</w:t>
      </w:r>
      <w:r>
        <w:t xml:space="preserve"> </w:t>
      </w:r>
      <w:r>
        <w:t xml:space="preserve">(</w:t>
      </w:r>
      <w:r>
        <w:rPr>
          <w:b/>
          <w:bCs/>
        </w:rPr>
        <w:t xml:space="preserve">tarrow1994?</w:t>
      </w:r>
      <w:r>
        <w:t xml:space="preserve">)</w:t>
      </w:r>
      <w:r>
        <w:t xml:space="preserve">. El estallido social de octubre de 2019 constituye el pico del ciclo chileno reciente: una ruptura del consenso sobre los límites de la acción política que expandió los repertorios de contención y normalizó discursivamente la violencia como herramienta de transformación social. Esta apertura normativa no fue específica del conflicto mapuche ni de un territorio particular — fue un fenómeno nacional que afectó las actitudes de la población en general.</w:t>
      </w:r>
    </w:p>
    <w:p>
      <w:pPr>
        <w:pStyle w:val="BodyText"/>
      </w:pPr>
      <w:r>
        <w:t xml:space="preserve">La represión policial durante el estallido produjo, además, efectos documentados sobre la legitimidad institucional. Disi Pavlic et al. (2024) mostraron que la proximidad a protestas con represión policial activa aumentó la justificación de violencia contra la policía en población no indígena, a través del deterioro de la percepción de justicia procedimental. Su hallazgo indica que la represión puntual y reactiva genera un efecto de backlash actitudinal</w:t>
      </w:r>
      <w:r>
        <w:t xml:space="preserve"> </w:t>
      </w:r>
      <w:r>
        <w:t xml:space="preserve">(Francisco, 2004)</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2 (H2 — Apertura normativa)</w:t>
            </w:r>
          </w:p>
        </w:tc>
      </w:tr>
      <w:tr>
        <w:trPr>
          <w:cantSplit/>
        </w:trPr>
        <w:tc>
          <w:tcPr>
            <w:tcMar>
              <w:top w:w="108" w:type="dxa"/>
              <w:bottom w:w="108" w:type="dxa"/>
            </w:tcMar>
          </w:tcPr>
          <w:p>
            <w:pPr>
              <w:pStyle w:val="BodyText"/>
            </w:pPr>
            <w:pPr>
              <w:spacing w:before="16" w:after="16"/>
            </w:pPr>
            <w:r>
              <w:t xml:space="preserve">La justificación de violencia de cambio social subirá entre la ola 2 (2018, pre-estallido) y la ola 3 (2021, resabio del estallido) para la muestra en conjunto, como efecto general de la apertura normativa. Este efecto no será diferencial por identidad étnica ni zona.</w:t>
            </w:r>
          </w:p>
        </w:tc>
      </w:tr>
    </w:tbl>
    <w:bookmarkEnd w:id="28"/>
    <w:bookmarkStart w:id="31" w:name="sec-contencion"/>
    <w:p>
      <w:pPr>
        <w:pStyle w:val="Heading2"/>
      </w:pPr>
      <w:r>
        <w:t xml:space="preserve">2.3 Contención fallida: coerción institucionalizada y desgaste del ciclo</w:t>
      </w:r>
    </w:p>
    <w:p>
      <w:pPr>
        <w:pStyle w:val="FirstParagraph"/>
      </w:pPr>
      <w:r>
        <w:t xml:space="preserve">La respuesta estatal al ciclo de conflicto adoptó dos formas simultáneas: la coerción institucionalizada (decreto del estado de excepción en octubre de 2021, con presencia militar prolongada en 53 comunas) y la canalización institucional (proceso constituyente 2020–2022). La derrota del Apruebo en septiembre de 2022 cerró la segunda vía, dejando la primera como el vínculo dominante entre Estado y territorio.</w:t>
      </w:r>
    </w:p>
    <w:p>
      <w:pPr>
        <w:pStyle w:val="BodyText"/>
      </w:pPr>
      <w:r>
        <w:t xml:space="preserve">La literatura sobre represión y actitudes ofrece dos predicciones contrarias. La hipótesis de disuasión sostiene que la coerción sostenida normaliza el uso de la fuerza como recurso legítimo y reduce la disposición a justificar la resistencia</w:t>
      </w:r>
      <w:r>
        <w:t xml:space="preserve"> </w:t>
      </w:r>
      <w:r>
        <w:t xml:space="preserve">(Davenport, 2007;</w:t>
      </w:r>
      <w:r>
        <w:t xml:space="preserve"> </w:t>
      </w:r>
      <w:r>
        <w:rPr>
          <w:b/>
          <w:bCs/>
        </w:rPr>
        <w:t xml:space="preserve">moore1998?</w:t>
      </w:r>
      <w:r>
        <w:t xml:space="preserve">)</w:t>
      </w:r>
      <w:r>
        <w:t xml:space="preserve">. La hipótesis de backlash sostiene que la represión radicaliza a la población afectada, aumentando la justificación de la violencia contra el Estado</w:t>
      </w:r>
      <w:r>
        <w:t xml:space="preserve"> </w:t>
      </w:r>
      <w:r>
        <w:t xml:space="preserve">(Blattman, 2009; Francisco, 2004)</w:t>
      </w:r>
      <w:r>
        <w:t xml:space="preserve">. Lo que distingue al estado de excepción de la represión puntual del estallido es su carácter</w:t>
      </w:r>
      <w:r>
        <w:t xml:space="preserve"> </w:t>
      </w:r>
      <w:r>
        <w:rPr>
          <w:b/>
          <w:bCs/>
        </w:rPr>
        <w:t xml:space="preserve">institucionalizado y prolongado</w:t>
      </w:r>
      <w:r>
        <w:t xml:space="preserve">: no es una reacción policial a una protesta específica, sino un dispositivo legal que militariza un territorio de forma sostenida.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3 (H3 — Contención fallida diferencial)</w:t>
            </w:r>
          </w:p>
        </w:tc>
      </w:tr>
      <w:tr>
        <w:trPr>
          <w:cantSplit/>
        </w:trPr>
        <w:tc>
          <w:tcPr>
            <w:tcMar>
              <w:top w:w="108" w:type="dxa"/>
              <w:bottom w:w="108" w:type="dxa"/>
            </w:tcMar>
          </w:tcPr>
          <w:p>
            <w:pPr>
              <w:pStyle w:val="Compact"/>
              <w:numPr>
                <w:ilvl w:val="0"/>
                <w:numId w:val="1001"/>
              </w:numPr>
            </w:pPr>
            <w:r>
              <w:t xml:space="preserve">Para la muestra en conjunto, la justificación de violencia de cambio social bajará entre la ola 3 y la ola 4, compatible con el agotamiento del ciclo y la derrota del Apruebo.</w:t>
            </w:r>
          </w:p>
          <w:p>
            <w:pPr>
              <w:pStyle w:val="Compact"/>
              <w:numPr>
                <w:ilvl w:val="0"/>
                <w:numId w:val="1001"/>
              </w:numPr>
            </w:pPr>
            <w:r>
              <w:t xml:space="preserve">Para las personas indígenas en zona de excepción, el efecto será inverso: la justificación de violencia de cambio social aumentará o se mantendrá, indicando que el decreto no logró contener la apertura normativa del estallido entre quienes viven la coerción directamente.</w:t>
            </w:r>
          </w:p>
          <w:p>
            <w:pPr>
              <w:pStyle w:val="Compact"/>
              <w:numPr>
                <w:ilvl w:val="0"/>
                <w:numId w:val="1001"/>
              </w:numPr>
            </w:pPr>
            <w:r>
              <w:t xml:space="preserve">La justificación de violencia de control social aumentará en zona de excepción entre indígenas (sedimentación coercitiva).</w:t>
            </w:r>
          </w:p>
        </w:tc>
      </w:tr>
    </w:tbl>
    <w:bookmarkEnd w:id="31"/>
    <w:bookmarkStart w:id="34" w:name="sec-demanda-dual"/>
    <w:p>
      <w:pPr>
        <w:pStyle w:val="Heading2"/>
      </w:pPr>
      <w:r>
        <w:t xml:space="preserve">2.4 Demanda dual bajo coerción prolongada</w:t>
      </w:r>
    </w:p>
    <w:p>
      <w:pPr>
        <w:pStyle w:val="FirstParagraph"/>
      </w:pPr>
      <w:r>
        <w:t xml:space="preserve">La coerción prolongada e institucionalizada puede producir una respuesta actitudinal que no se reduce a una sola dimensión. Bajo tensión territorial sostenida, las personas indígenas en zona de excepción pueden demandar simultáneamente orden (como seguridad frente a la represión) y transformación (como resistencia a la injusticia estructural). Esta lógica de demanda dual es distinta de la polarización simple y no está prevista por los marcos de ciclo de protesta ni de sedimentación coercitiva tomados por separado.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5 (H5 — Demanda dual)</w:t>
            </w:r>
          </w:p>
        </w:tc>
      </w:tr>
      <w:tr>
        <w:trPr>
          <w:cantSplit/>
        </w:trPr>
        <w:tc>
          <w:tcPr>
            <w:tcMar>
              <w:top w:w="108" w:type="dxa"/>
              <w:bottom w:w="108" w:type="dxa"/>
            </w:tcMar>
          </w:tcPr>
          <w:p>
            <w:pPr>
              <w:pStyle w:val="BodyText"/>
            </w:pPr>
            <w:pPr>
              <w:spacing w:before="16" w:after="16"/>
            </w:pPr>
            <w:r>
              <w:t xml:space="preserve">En la ola 4, las personas indígenas en zona de excepción aumentarán simultáneamente la justificación de violencia de control social</w:t>
            </w:r>
            <w:r>
              <w:t xml:space="preserve"> </w:t>
            </w:r>
            <w:r>
              <w:rPr>
                <w:b/>
                <w:bCs/>
              </w:rPr>
              <w:t xml:space="preserve">y</w:t>
            </w:r>
            <w:r>
              <w:t xml:space="preserve"> </w:t>
            </w:r>
            <w:r>
              <w:t xml:space="preserve">de cambio social respecto a los demás grupos, configurando una demanda dual que resulta de la secuencia apertura normativa (estallido) → contención fallida (decreto) → regularización procedimental.</w:t>
            </w:r>
          </w:p>
        </w:tc>
      </w:tr>
    </w:tbl>
    <w:bookmarkEnd w:id="34"/>
    <w:bookmarkStart w:id="37" w:name="sec-justproc"/>
    <w:p>
      <w:pPr>
        <w:pStyle w:val="Heading2"/>
      </w:pPr>
      <w:r>
        <w:t xml:space="preserve">2.5 Justicia procedimental como mecanismo: ingroup vs. outgroup</w:t>
      </w:r>
    </w:p>
    <w:p>
      <w:pPr>
        <w:pStyle w:val="FirstParagraph"/>
      </w:pPr>
      <w:r>
        <w:t xml:space="preserve">Tyler (1990) y Tyler y Huo (2002) sostienen que la percepción de trato justo por instituciones predice legitimidad y cumplimiento normativo. Pero en un conflicto interétnico,</w:t>
      </w:r>
      <w:r>
        <w:t xml:space="preserve"> </w:t>
      </w:r>
      <w:r>
        <w:t xml:space="preserve">“</w:t>
      </w:r>
      <w:r>
        <w:t xml:space="preserve">trato justo</w:t>
      </w:r>
      <w:r>
        <w:t xml:space="preserve">”</w:t>
      </w:r>
      <w:r>
        <w:t xml:space="preserve"> </w:t>
      </w:r>
      <w:r>
        <w:t xml:space="preserve">no es unívoco: la percepción de cómo Carabineros trata a</w:t>
      </w:r>
      <w:r>
        <w:t xml:space="preserve"> </w:t>
      </w:r>
      <w:r>
        <w:rPr>
          <w:b/>
          <w:bCs/>
        </w:rPr>
        <w:t xml:space="preserve">mi grupo</w:t>
      </w:r>
      <w:r>
        <w:t xml:space="preserve"> </w:t>
      </w:r>
      <w:r>
        <w:t xml:space="preserve">(ingroup) es distinta de cómo trata al</w:t>
      </w:r>
      <w:r>
        <w:t xml:space="preserve"> </w:t>
      </w:r>
      <w:r>
        <w:rPr>
          <w:b/>
          <w:bCs/>
        </w:rPr>
        <w:t xml:space="preserve">otro grupo</w:t>
      </w:r>
      <w:r>
        <w:t xml:space="preserve"> </w:t>
      </w:r>
      <w:r>
        <w:t xml:space="preserve">(outgroup). ELRI captura esta estructura:</w:t>
      </w:r>
    </w:p>
    <w:p>
      <w:pPr>
        <w:pStyle w:val="Compact"/>
        <w:numPr>
          <w:ilvl w:val="0"/>
          <w:numId w:val="1002"/>
        </w:numPr>
      </w:pPr>
      <w:r>
        <w:rPr>
          <w:b/>
          <w:bCs/>
        </w:rPr>
        <w:t xml:space="preserve">d5_1</w:t>
      </w:r>
      <w:r>
        <w:t xml:space="preserve">:</w:t>
      </w:r>
      <w:r>
        <w:t xml:space="preserve"> </w:t>
      </w:r>
      <w:r>
        <w:t xml:space="preserve">“</w:t>
      </w:r>
      <w:r>
        <w:t xml:space="preserve">Carabineros tratan a</w:t>
      </w:r>
      <w:r>
        <w:t xml:space="preserve"> </w:t>
      </w:r>
      <w:r>
        <w:rPr>
          <w:b/>
          <w:bCs/>
        </w:rPr>
        <w:t xml:space="preserve">indígenas</w:t>
      </w:r>
      <w:r>
        <w:t xml:space="preserve"> </w:t>
      </w:r>
      <w:r>
        <w:t xml:space="preserve">con respeto</w:t>
      </w:r>
      <w:r>
        <w:t xml:space="preserve">”</w:t>
      </w:r>
    </w:p>
    <w:p>
      <w:pPr>
        <w:pStyle w:val="Compact"/>
        <w:numPr>
          <w:ilvl w:val="0"/>
          <w:numId w:val="1002"/>
        </w:numPr>
      </w:pPr>
      <w:r>
        <w:rPr>
          <w:b/>
          <w:bCs/>
        </w:rPr>
        <w:t xml:space="preserve">d5_2</w:t>
      </w:r>
      <w:r>
        <w:t xml:space="preserve">:</w:t>
      </w:r>
      <w:r>
        <w:t xml:space="preserve"> </w:t>
      </w:r>
      <w:r>
        <w:t xml:space="preserve">“</w:t>
      </w:r>
      <w:r>
        <w:t xml:space="preserve">Carabineros tratan a</w:t>
      </w:r>
      <w:r>
        <w:t xml:space="preserve"> </w:t>
      </w:r>
      <w:r>
        <w:rPr>
          <w:b/>
          <w:bCs/>
        </w:rPr>
        <w:t xml:space="preserve">no indígenas</w:t>
      </w:r>
      <w:r>
        <w:t xml:space="preserve"> </w:t>
      </w:r>
      <w:r>
        <w:t xml:space="preserve">con respeto</w:t>
      </w:r>
      <w:r>
        <w:t xml:space="preserve">”</w:t>
      </w:r>
    </w:p>
    <w:p>
      <w:pPr>
        <w:pStyle w:val="FirstParagraph"/>
      </w:pPr>
      <w:r>
        <w:t xml:space="preserve">Para una persona indígena, d5_1 = ingroup (mi grupo), d5_2 = outgroup (el otro).</w:t>
      </w:r>
      <w:r>
        <w:br/>
      </w:r>
      <w:r>
        <w:t xml:space="preserve">Para una persona no indígena, d5_1 = outgroup, d5_2 = ingroup.</w:t>
      </w:r>
    </w:p>
    <w:p>
      <w:pPr>
        <w:pStyle w:val="BodyText"/>
      </w:pPr>
      <w:r>
        <w:rPr>
          <w:b/>
          <w:bCs/>
        </w:rPr>
        <w:t xml:space="preserve">Baseline (ola 2) confirma la estructura teórica:</w:t>
      </w:r>
      <w:r>
        <w:t xml:space="preserve"> </w:t>
      </w:r>
      <w:r>
        <w:t xml:space="preserve">indígenas perciben brecha = 0,40 (agravio: tratan mejor al outgroup); no indígenas perciben brecha = -0,32 (privilegio: tratan mejor a mi grupo).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Hipótesis 4 (H4 — Mecanismo de justicia procedimental)</w:t>
            </w:r>
          </w:p>
        </w:tc>
      </w:tr>
      <w:tr>
        <w:trPr>
          <w:cantSplit/>
        </w:trPr>
        <w:tc>
          <w:tcPr>
            <w:tcMar>
              <w:top w:w="108" w:type="dxa"/>
              <w:bottom w:w="108" w:type="dxa"/>
            </w:tcMar>
          </w:tcPr>
          <w:p>
            <w:pPr>
              <w:pStyle w:val="Compact"/>
              <w:numPr>
                <w:ilvl w:val="0"/>
                <w:numId w:val="1003"/>
              </w:numPr>
            </w:pPr>
            <w:r>
              <w:t xml:space="preserve">El estado de excepción modificará la percepción de justicia procedimental ingroup entre indígenas en zona de excepción. La dirección del efecto no se predetermina teóricamente: puede ser deterioro (Davenport) o regularización (Tyler).</w:t>
            </w:r>
          </w:p>
          <w:p>
            <w:pPr>
              <w:pStyle w:val="Compact"/>
              <w:numPr>
                <w:ilvl w:val="0"/>
                <w:numId w:val="1003"/>
              </w:numPr>
            </w:pPr>
            <w:r>
              <w:t xml:space="preserve">Si just_proc_ingroup cambia, mediará parcialmente el efecto del decreto sobre la justificación de violencia de control social (atenuación del coeficiente DiD al incluir el mediador rezagado).</w:t>
            </w:r>
          </w:p>
          <w:p>
            <w:pPr>
              <w:pStyle w:val="Compact"/>
              <w:numPr>
                <w:ilvl w:val="0"/>
                <w:numId w:val="1003"/>
              </w:numPr>
            </w:pPr>
            <w:r>
              <w:t xml:space="preserve">El mecanismo operará asimétricamente: mediación para violencia de control (la legitimidad procedimental facilita la aquiescencia con la coerción) y supresión para violencia de cambio social (la resistencia responde al efecto directo de la coerción, no al canal procedimental).</w:t>
            </w:r>
          </w:p>
        </w:tc>
      </w:tr>
    </w:tbl>
    <w:bookmarkEnd w:id="37"/>
    <w:bookmarkEnd w:id="38"/>
    <w:bookmarkStart w:id="45" w:name="sec-datos"/>
    <w:p>
      <w:pPr>
        <w:pStyle w:val="Heading1"/>
      </w:pPr>
      <w:r>
        <w:t xml:space="preserve">3. Diseño y datos</w:t>
      </w:r>
    </w:p>
    <w:bookmarkStart w:id="40" w:name="Xfbc1edba92607b9166b07742149c1ac5e90793a"/>
    <w:p>
      <w:pPr>
        <w:pStyle w:val="Heading2"/>
      </w:pPr>
      <w:r>
        <w:t xml:space="preserve">3.1 La Encuesta Longitudinal de Relaciones Interculturales (ELRI)</w:t>
      </w:r>
    </w:p>
    <w:p>
      <w:pPr>
        <w:pStyle w:val="FirstParagraph"/>
      </w:pPr>
      <w:r>
        <w:t xml:space="preserve">La ELRI es un panel probabilístico con diseño espejo que entrevista paralelamente a muestras de población indígena y no indígena en Chile. Se utilizan las olas 2 (2018), 3 (dic 2020–may 2021) y 4 (2023), reteniendo solo los 1.580 individuos presentes en las cuatro olas (panel balanceado). La identidad étnica se fija desde la ola 1 para evitar inconsistencias de autoidentificación entre mediciones.</w:t>
      </w:r>
    </w:p>
    <w:tbl>
      <w:tblPr>
        <w:tblStyle w:val="Table"/>
        <w:tblW w:type="pct" w:w="5000"/>
        <w:tblLayout w:type="fixed"/>
        <w:tblLook w:firstRow="0" w:lastRow="0" w:firstColumn="0" w:lastColumn="0" w:noHBand="0" w:noVBand="0" w:val="0000"/>
      </w:tblPr>
      <w:tblGrid>
        <w:gridCol w:w="7920"/>
      </w:tblGrid>
      <w:tr>
        <w:tc>
          <w:tcPr/>
          <w:bookmarkStart w:id="39" w:name="tbl-timeline"/>
          <w:p>
            <w:pPr>
              <w:jc w:val="center"/>
            </w:pPr>
            <w:pPr>
              <w:jc w:val="start"/>
              <w:spacing w:before="200"/>
              <w:pStyle w:val="ImageCaption"/>
            </w:pPr>
            <w:r>
              <w:t xml:space="preserve">Tabla 1: Timeline del diseño</w:t>
            </w:r>
          </w:p>
          <w:tbl>
            <w:tblPr>
              <w:tblStyle w:val="Table"/>
              <w:tblW w:type="pct" w:w="5000"/>
              <w:tblLayout w:type="fixed"/>
              <w:tblLook w:firstRow="1" w:lastRow="0" w:firstColumn="0" w:lastColumn="0" w:noHBand="0" w:noVBand="0" w:val="0020"/>
            </w:tblPr>
            <w:tblGrid>
              <w:gridCol w:w="842"/>
              <w:gridCol w:w="1179"/>
              <w:gridCol w:w="3370"/>
              <w:gridCol w:w="2527"/>
            </w:tblGrid>
            <w:tr>
              <w:trPr>
                <w:tblHeader w:val="on"/>
              </w:trPr>
              <w:tc>
                <w:tcPr/>
                <w:p>
                  <w:pPr>
                    <w:pStyle w:val="Compact"/>
                    <w:jc w:val="center"/>
                    <w:jc w:val="center"/>
                  </w:pPr>
                  <w:r>
                    <w:t xml:space="preserve">Ola</w:t>
                  </w:r>
                </w:p>
              </w:tc>
              <w:tc>
                <w:tcPr/>
                <w:p>
                  <w:pPr>
                    <w:pStyle w:val="Compact"/>
                    <w:jc w:val="center"/>
                    <w:jc w:val="center"/>
                  </w:pPr>
                  <w:r>
                    <w:t xml:space="preserve">Campo</w:t>
                  </w:r>
                </w:p>
              </w:tc>
              <w:tc>
                <w:tcPr/>
                <w:p>
                  <w:pPr>
                    <w:pStyle w:val="Compact"/>
                    <w:jc w:val="left"/>
                    <w:jc w:val="center"/>
                  </w:pPr>
                  <w:r>
                    <w:t xml:space="preserve">Contexto histórico</w:t>
                  </w:r>
                </w:p>
              </w:tc>
              <w:tc>
                <w:tcPr/>
                <w:p>
                  <w:pPr>
                    <w:pStyle w:val="Compact"/>
                    <w:jc w:val="left"/>
                    <w:jc w:val="center"/>
                  </w:pPr>
                  <w:r>
                    <w:t xml:space="preserve">Rol analítico</w:t>
                  </w:r>
                </w:p>
              </w:tc>
            </w:tr>
            <w:tr>
              <w:tc>
                <w:tcPr/>
                <w:p>
                  <w:pPr>
                    <w:pStyle w:val="Compact"/>
                    <w:jc w:val="center"/>
                    <w:jc w:val="center"/>
                  </w:pPr>
                  <w:r>
                    <w:t xml:space="preserve">1</w:t>
                  </w:r>
                </w:p>
              </w:tc>
              <w:tc>
                <w:tcPr/>
                <w:p>
                  <w:pPr>
                    <w:pStyle w:val="Compact"/>
                    <w:jc w:val="center"/>
                    <w:jc w:val="center"/>
                  </w:pPr>
                  <w:r>
                    <w:t xml:space="preserve">2016</w:t>
                  </w:r>
                </w:p>
              </w:tc>
              <w:tc>
                <w:tcPr/>
                <w:p>
                  <w:pPr>
                    <w:pStyle w:val="Compact"/>
                    <w:jc w:val="left"/>
                    <w:jc w:val="center"/>
                  </w:pPr>
                  <w:r>
                    <w:t xml:space="preserve">Conflicto latente</w:t>
                  </w:r>
                </w:p>
              </w:tc>
              <w:tc>
                <w:tcPr/>
                <w:p>
                  <w:pPr>
                    <w:pStyle w:val="Compact"/>
                    <w:jc w:val="left"/>
                    <w:jc w:val="center"/>
                  </w:pPr>
                  <w:r>
                    <w:t xml:space="preserve">Solo placebo</w:t>
                  </w:r>
                </w:p>
              </w:tc>
            </w:tr>
            <w:tr>
              <w:tc>
                <w:tcPr/>
                <w:p>
                  <w:pPr>
                    <w:pStyle w:val="Compact"/>
                    <w:jc w:val="center"/>
                    <w:jc w:val="center"/>
                  </w:pPr>
                  <w:r>
                    <w:t xml:space="preserve">2</w:t>
                  </w:r>
                </w:p>
              </w:tc>
              <w:tc>
                <w:tcPr/>
                <w:p>
                  <w:pPr>
                    <w:pStyle w:val="Compact"/>
                    <w:jc w:val="center"/>
                    <w:jc w:val="center"/>
                  </w:pPr>
                  <w:r>
                    <w:t xml:space="preserve">2018</w:t>
                  </w:r>
                </w:p>
              </w:tc>
              <w:tc>
                <w:tcPr/>
                <w:p>
                  <w:pPr>
                    <w:pStyle w:val="Compact"/>
                    <w:jc w:val="left"/>
                    <w:jc w:val="center"/>
                  </w:pPr>
                  <w:r>
                    <w:t xml:space="preserve">Pre-estallido, pre-excepción</w:t>
                  </w:r>
                </w:p>
              </w:tc>
              <w:tc>
                <w:tcPr/>
                <w:p>
                  <w:pPr>
                    <w:pStyle w:val="Compact"/>
                    <w:jc w:val="left"/>
                    <w:jc w:val="center"/>
                  </w:pPr>
                  <w:r>
                    <w:t xml:space="preserve">Baseline (</w:t>
                  </w:r>
                  <w:r>
                    <w:rPr>
                      <w:i/>
                      <w:iCs/>
                    </w:rPr>
                    <w:t xml:space="preserve">t</w:t>
                  </w:r>
                  <w:r>
                    <w:t xml:space="preserve"> </w:t>
                  </w:r>
                  <w:r>
                    <w:t xml:space="preserve">= 0)</w:t>
                  </w:r>
                </w:p>
              </w:tc>
            </w:tr>
            <w:tr>
              <w:tc>
                <w:tcPr/>
                <w:p>
                  <w:pPr>
                    <w:pStyle w:val="Compact"/>
                    <w:jc w:val="center"/>
                    <w:jc w:val="center"/>
                  </w:pPr>
                  <w:r>
                    <w:t xml:space="preserve">3</w:t>
                  </w:r>
                </w:p>
              </w:tc>
              <w:tc>
                <w:tcPr/>
                <w:p>
                  <w:pPr>
                    <w:pStyle w:val="Compact"/>
                    <w:jc w:val="center"/>
                    <w:jc w:val="center"/>
                  </w:pPr>
                  <w:r>
                    <w:t xml:space="preserve">Dic 2020 – May 2021</w:t>
                  </w:r>
                </w:p>
              </w:tc>
              <w:tc>
                <w:tcPr/>
                <w:p>
                  <w:pPr>
                    <w:pStyle w:val="Compact"/>
                    <w:jc w:val="left"/>
                    <w:jc w:val="center"/>
                  </w:pPr>
                  <w:r>
                    <w:t xml:space="preserve">Resabio estallido + pandemia</w:t>
                  </w:r>
                </w:p>
              </w:tc>
              <w:tc>
                <w:tcPr/>
                <w:p>
                  <w:pPr>
                    <w:pStyle w:val="Compact"/>
                    <w:jc w:val="left"/>
                    <w:jc w:val="center"/>
                  </w:pPr>
                  <w:r>
                    <w:t xml:space="preserve">Tratamiento 1 (</w:t>
                  </w:r>
                  <w:r>
                    <w:rPr>
                      <w:i/>
                      <w:iCs/>
                    </w:rPr>
                    <w:t xml:space="preserve">t</w:t>
                  </w:r>
                  <w:r>
                    <w:t xml:space="preserve"> </w:t>
                  </w:r>
                  <w:r>
                    <w:t xml:space="preserve">= 1)</w:t>
                  </w:r>
                </w:p>
              </w:tc>
            </w:tr>
            <w:tr>
              <w:tc>
                <w:tcPr/>
                <w:p>
                  <w:pPr>
                    <w:pStyle w:val="Compact"/>
                    <w:jc w:val="center"/>
                    <w:jc w:val="center"/>
                  </w:pPr>
                  <w:r>
                    <w:t xml:space="preserve">4</w:t>
                  </w:r>
                </w:p>
              </w:tc>
              <w:tc>
                <w:tcPr/>
                <w:p>
                  <w:pPr>
                    <w:pStyle w:val="Compact"/>
                    <w:jc w:val="center"/>
                    <w:jc w:val="center"/>
                  </w:pPr>
                  <w:r>
                    <w:t xml:space="preserve">2023</w:t>
                  </w:r>
                </w:p>
              </w:tc>
              <w:tc>
                <w:tcPr/>
                <w:p>
                  <w:pPr>
                    <w:pStyle w:val="Compact"/>
                    <w:jc w:val="left"/>
                    <w:jc w:val="center"/>
                  </w:pPr>
                  <w:r>
                    <w:t xml:space="preserve">Decreto prolongado + derrota Apruebo</w:t>
                  </w:r>
                </w:p>
              </w:tc>
              <w:tc>
                <w:tcPr/>
                <w:p>
                  <w:pPr>
                    <w:pStyle w:val="Compact"/>
                    <w:jc w:val="left"/>
                    <w:jc w:val="center"/>
                  </w:pPr>
                  <w:r>
                    <w:t xml:space="preserve">Tratamiento 2 (</w:t>
                  </w:r>
                  <w:r>
                    <w:rPr>
                      <w:i/>
                      <w:iCs/>
                    </w:rPr>
                    <w:t xml:space="preserve">t</w:t>
                  </w:r>
                  <w:r>
                    <w:t xml:space="preserve"> </w:t>
                  </w:r>
                  <w:r>
                    <w:t xml:space="preserve">= 2)</w:t>
                  </w:r>
                </w:p>
              </w:tc>
            </w:tr>
          </w:tbl>
          <w:bookmarkEnd w:id="39"/>
          <w:p/>
        </w:tc>
      </w:tr>
    </w:tbl>
    <w:p>
      <w:pPr>
        <w:pStyle w:val="BodyText"/>
      </w:pPr>
      <w:r>
        <w:rPr>
          <w:b/>
          <w:bCs/>
        </w:rPr>
        <w:t xml:space="preserve">Nota crítica sobre el timeline:</w:t>
      </w:r>
      <w:r>
        <w:t xml:space="preserve"> </w:t>
      </w:r>
      <w:r>
        <w:t xml:space="preserve">El decreto D.S. N°418/2021 fue firmado el 12 de octubre de 2021,</w:t>
      </w:r>
      <w:r>
        <w:t xml:space="preserve"> </w:t>
      </w:r>
      <w:r>
        <w:rPr>
          <w:b/>
          <w:bCs/>
        </w:rPr>
        <w:t xml:space="preserve">cinco meses después</w:t>
      </w:r>
      <w:r>
        <w:t xml:space="preserve"> </w:t>
      </w:r>
      <w:r>
        <w:t xml:space="preserve">del cierre del campo de la ola 3. La ola 3 captura el resabio del estallido social de octubre de 2019, no el estado de excepción. El análisis DiD compara: (1) ola 2→3 (transición estallido, sin decreto); (2) ola 3→4 (transición decreto + Apruebo); (3) olas 2–4 completas (modelo principal).</w:t>
      </w:r>
    </w:p>
    <w:bookmarkEnd w:id="40"/>
    <w:bookmarkStart w:id="41" w:name="Xfe831d4682c3177d0a137ab8e0e73f27876c706"/>
    <w:p>
      <w:pPr>
        <w:pStyle w:val="Heading2"/>
      </w:pPr>
      <w:r>
        <w:t xml:space="preserve">3.2 Estrategia de identificación cuasi-experimental</w:t>
      </w:r>
    </w:p>
    <w:p>
      <w:pPr>
        <w:pStyle w:val="FirstParagraph"/>
      </w:pPr>
      <w:r>
        <w:t xml:space="preserve">El diseño explota dos fuentes de variación temporal: (1) el estallido social de 2019 como shock nacional no diferencial, capturado entre olas 2 y 3; y (2) el decreto del estado de excepción como shock territorial diferencial, capturado entre olas 3 y 4. La combinación permite estimar tres modelos DiD: Modelo A (transición estallido, olas 2–3), Modelo B (transición decreto, olas 3–4) y Modelo C (tres períodos completos, modelo principal del paper).</w:t>
      </w:r>
    </w:p>
    <w:p>
      <w:pPr>
        <w:pStyle w:val="BodyText"/>
      </w:pPr>
      <w:r>
        <w:t xml:space="preserve">El estado de excepción fue declarado el 12 de octubre de 2021 en</w:t>
      </w:r>
      <w:r>
        <w:t xml:space="preserve"> </w:t>
      </w:r>
      <w:r>
        <w:rPr>
          <w:b/>
          <w:bCs/>
        </w:rPr>
        <w:t xml:space="preserve">53 comunas de las cuatro provincias completas</w:t>
      </w:r>
      <w:r>
        <w:t xml:space="preserve"> </w:t>
      </w:r>
      <w:r>
        <w:t xml:space="preserve">incluidas en el decreto D.S. N°418/2021: Cautín y Malleco (La Araucanía), Arauco y Biobío (región del Biobío). Esta asignación territorial exógena permite construir una estrategia de diferencias-en-diferencias con cuatro grupos de comparación (identidad × zona).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Grupo</w:t>
            </w:r>
          </w:p>
        </w:tc>
        <w:tc>
          <w:tcPr/>
          <w:p>
            <w:pPr>
              <w:pStyle w:val="Compact"/>
              <w:jc w:val="left"/>
            </w:pPr>
            <w:r>
              <w:t xml:space="preserve">Zona</w:t>
            </w:r>
          </w:p>
        </w:tc>
        <w:tc>
          <w:tcPr/>
          <w:p>
            <w:pPr>
              <w:pStyle w:val="Compact"/>
              <w:jc w:val="left"/>
            </w:pPr>
            <w:r>
              <w:t xml:space="preserve">Período tratamiento</w:t>
            </w:r>
          </w:p>
        </w:tc>
      </w:tr>
      <w:tr>
        <w:tc>
          <w:tcPr/>
          <w:p>
            <w:pPr>
              <w:pStyle w:val="Compact"/>
              <w:jc w:val="left"/>
            </w:pPr>
            <w:r>
              <w:t xml:space="preserve">Indígena / cerca</w:t>
            </w:r>
          </w:p>
        </w:tc>
        <w:tc>
          <w:tcPr/>
          <w:p>
            <w:pPr>
              <w:pStyle w:val="Compact"/>
              <w:jc w:val="left"/>
            </w:pPr>
            <w:r>
              <w:t xml:space="preserve">Excepción</w:t>
            </w:r>
          </w:p>
        </w:tc>
        <w:tc>
          <w:tcPr/>
          <w:p>
            <w:pPr>
              <w:pStyle w:val="Compact"/>
              <w:jc w:val="left"/>
            </w:pPr>
            <w:r>
              <w:t xml:space="preserve">Tratados</w:t>
            </w:r>
          </w:p>
        </w:tc>
      </w:tr>
      <w:tr>
        <w:tc>
          <w:tcPr/>
          <w:p>
            <w:pPr>
              <w:pStyle w:val="Compact"/>
              <w:jc w:val="left"/>
            </w:pPr>
            <w:r>
              <w:t xml:space="preserve">Indígena / lejos</w:t>
            </w:r>
          </w:p>
        </w:tc>
        <w:tc>
          <w:tcPr/>
          <w:p>
            <w:pPr>
              <w:pStyle w:val="Compact"/>
              <w:jc w:val="left"/>
            </w:pPr>
            <w:r>
              <w:t xml:space="preserve">Sin excepción</w:t>
            </w:r>
          </w:p>
        </w:tc>
        <w:tc>
          <w:tcPr/>
          <w:p>
            <w:pPr>
              <w:pStyle w:val="Compact"/>
              <w:jc w:val="left"/>
            </w:pPr>
            <w:r>
              <w:t xml:space="preserve">Control</w:t>
            </w:r>
          </w:p>
        </w:tc>
      </w:tr>
      <w:tr>
        <w:tc>
          <w:tcPr/>
          <w:p>
            <w:pPr>
              <w:pStyle w:val="Compact"/>
              <w:jc w:val="left"/>
            </w:pPr>
            <w:r>
              <w:t xml:space="preserve">No indígena / cerca</w:t>
            </w:r>
          </w:p>
        </w:tc>
        <w:tc>
          <w:tcPr/>
          <w:p>
            <w:pPr>
              <w:pStyle w:val="Compact"/>
              <w:jc w:val="left"/>
            </w:pPr>
            <w:r>
              <w:t xml:space="preserve">Excepción</w:t>
            </w:r>
          </w:p>
        </w:tc>
        <w:tc>
          <w:tcPr/>
          <w:p>
            <w:pPr>
              <w:pStyle w:val="Compact"/>
              <w:jc w:val="left"/>
            </w:pPr>
            <w:r>
              <w:t xml:space="preserve">Tratados</w:t>
            </w:r>
          </w:p>
        </w:tc>
      </w:tr>
      <w:tr>
        <w:tc>
          <w:tcPr/>
          <w:p>
            <w:pPr>
              <w:pStyle w:val="Compact"/>
              <w:jc w:val="left"/>
            </w:pPr>
            <w:r>
              <w:t xml:space="preserve">No indígena / lejos</w:t>
            </w:r>
          </w:p>
        </w:tc>
        <w:tc>
          <w:tcPr/>
          <w:p>
            <w:pPr>
              <w:pStyle w:val="Compact"/>
              <w:jc w:val="left"/>
            </w:pPr>
            <w:r>
              <w:t xml:space="preserve">Sin excepción</w:t>
            </w:r>
          </w:p>
        </w:tc>
        <w:tc>
          <w:tcPr/>
          <w:p>
            <w:pPr>
              <w:pStyle w:val="Compact"/>
              <w:jc w:val="left"/>
            </w:pPr>
            <w:r>
              <w:t xml:space="preserve">Control</w:t>
            </w:r>
          </w:p>
        </w:tc>
      </w:tr>
    </w:tbl>
    <w:p>
      <w:pPr>
        <w:pStyle w:val="BodyText"/>
      </w:pPr>
      <w:r>
        <w:t xml:space="preserve">El supuesto de tendencias paralelas no es testeable formalmente con una sola ola pre-tratamiento (ola 2). Por esta razón, los resultados se interpretan como cambios diferenciales compatibles con una lógica de diferencias-en-diferencias extendida, pero</w:t>
      </w:r>
      <w:r>
        <w:t xml:space="preserve"> </w:t>
      </w:r>
      <w:r>
        <w:rPr>
          <w:b/>
          <w:bCs/>
        </w:rPr>
        <w:t xml:space="preserve">no como estimaciones causales definitivas</w:t>
      </w:r>
      <w:r>
        <w:t xml:space="preserve">. Este análisis se presenta como</w:t>
      </w:r>
      <w:r>
        <w:t xml:space="preserve"> </w:t>
      </w:r>
      <w:r>
        <w:rPr>
          <w:b/>
          <w:bCs/>
        </w:rPr>
        <w:t xml:space="preserve">evidencia cuasi-experimental exploratoria</w:t>
      </w:r>
      <w:r>
        <w:t xml:space="preserve">: los hallazgos son compatibles con una interpretación de cambio diferencial posterior al estado de excepción, aunque no concluyente causalmente. En la ola 2, las diferencias por zona de excepción van en dirección opuesta a los patrones post-tratamiento observados (β = -0,357,</w:t>
      </w:r>
      <w:r>
        <w:t xml:space="preserve"> </w:t>
      </w:r>
      <w:r>
        <w:rPr>
          <w:i/>
          <w:iCs/>
        </w:rPr>
        <w:t xml:space="preserve">p</w:t>
      </w:r>
      <w:r>
        <w:t xml:space="preserve"> </w:t>
      </w:r>
      <w:r>
        <w:t xml:space="preserve">= ,080 para cambio social), lo que es consistente —aunque no establece— con la plausibilidad del contrafactual.</w:t>
      </w:r>
    </w:p>
    <w:bookmarkEnd w:id="41"/>
    <w:bookmarkStart w:id="43" w:name="sec-variables"/>
    <w:p>
      <w:pPr>
        <w:pStyle w:val="Heading2"/>
      </w:pPr>
      <w:r>
        <w:t xml:space="preserve">3.3 Variables</w:t>
      </w:r>
    </w:p>
    <w:tbl>
      <w:tblPr>
        <w:tblStyle w:val="Table"/>
        <w:tblW w:type="pct" w:w="5000"/>
        <w:tblLayout w:type="fixed"/>
        <w:tblLook w:firstRow="0" w:lastRow="0" w:firstColumn="0" w:lastColumn="0" w:noHBand="0" w:noVBand="0" w:val="0000"/>
      </w:tblPr>
      <w:tblGrid>
        <w:gridCol w:w="7920"/>
      </w:tblGrid>
      <w:tr>
        <w:tc>
          <w:tcPr/>
          <w:bookmarkStart w:id="42" w:name="tbl-variables"/>
          <w:p>
            <w:pPr>
              <w:jc w:val="center"/>
            </w:pPr>
            <w:pPr>
              <w:jc w:val="start"/>
              <w:spacing w:before="200"/>
              <w:pStyle w:val="ImageCaption"/>
            </w:pPr>
            <w:r>
              <w:t xml:space="preserve">Tabla 2: Operacionalización de variables principales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5"/>
              <w:gridCol w:w="6047"/>
              <w:gridCol w:w="1605"/>
              <w:gridCol w:w="1105"/>
            </w:tblGrid>
            <w:tr>
              <w:trPr>
                <w:trHeight w:val="47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Escala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Fuente</w:t>
                  </w:r>
                </w:p>
              </w:tc>
            </w:tr>
            <w:tr>
              <w:trPr>
                <w:trHeight w:val="47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represión estatal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Carabineros repriman (d3_1)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(ítem único)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Tomas de terrenos (d4_2) + corte carreteras (d4_3)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(α=.75)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Trato Carabineros a MI grupo étnico (d5_1 o d5_2 según identidad)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outgroup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Trato Carabineros al OTRO grupo étnico (d5_2 o d5_1 según identidad)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Brecha just. proc.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Diferencia percibida: outgroup −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 a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Calculada</w:t>
                  </w:r>
                </w:p>
              </w:tc>
            </w:tr>
            <w:tr>
              <w:trPr>
                <w:trHeight w:val="4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(promedio)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Promedio d5_1 + d5_2 (comparabilidad)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(α=.83)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 identifico con la causa indígena (d6_1)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D</w:t>
                  </w:r>
                </w:p>
              </w:tc>
            </w:tr>
            <w:tr>
              <w:trPr>
                <w:trHeight w:val="4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Identificación con Chile (a6)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A</w:t>
                  </w:r>
                </w:p>
              </w:tc>
            </w:tr>
            <w:tr>
              <w:trPr>
                <w:trHeight w:val="4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pueblo originario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Promedio a4 + a5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 (r=.82)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A</w:t>
                  </w:r>
                </w:p>
              </w:tc>
            </w:tr>
            <w:tr>
              <w:trPr>
                <w:trHeight w:val="44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Predominancia identitaria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étnica − id.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 a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Calculada</w:t>
                  </w:r>
                </w:p>
              </w:tc>
            </w:tr>
            <w:tr>
              <w:trPr>
                <w:trHeight w:val="47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Condiciones de vida indígenas vs. no ind. (c22, invertida)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r>
              <w:trPr>
                <w:trHeight w:val="476"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a movilizaciones indígenas (c25)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ELRI C</w:t>
                  </w:r>
                </w:p>
              </w:tc>
            </w:tr>
          </w:tbl>
          <w:bookmarkEnd w:id="42"/>
        </w:tc>
      </w:tr>
    </w:tbl>
    <w:p>
      <w:pPr>
        <w:pStyle w:val="BodyText"/>
      </w:pPr>
      <w:r>
        <w:t xml:space="preserve">En todo el manuscrito se emplean dos variables dependientes principales. La</w:t>
      </w:r>
      <w:r>
        <w:t xml:space="preserve"> </w:t>
      </w:r>
      <w:r>
        <w:rPr>
          <w:b/>
          <w:bCs/>
        </w:rPr>
        <w:t xml:space="preserve">justificación de represión estatal</w:t>
      </w:r>
      <w:r>
        <w:t xml:space="preserve"> </w:t>
      </w:r>
      <w:r>
        <w:t xml:space="preserve">(</w:t>
      </w:r>
      <w:r>
        <w:rPr>
          <w:rStyle w:val="VerbatimChar"/>
        </w:rPr>
        <w:t xml:space="preserve">idx_vio_control</w:t>
      </w:r>
      <w:r>
        <w:t xml:space="preserve">, alias de</w:t>
      </w:r>
      <w:r>
        <w:t xml:space="preserve"> </w:t>
      </w:r>
      <w:r>
        <w:rPr>
          <w:rStyle w:val="VerbatimChar"/>
        </w:rPr>
        <w:t xml:space="preserve">idx_represion_estatal</w:t>
      </w:r>
      <w:r>
        <w:t xml:space="preserve">) fue medida con un único ítem: «¿Cuán justificado le parece que Carabineros reprima con mayor fuerza las tomas de terreno y protestas?» (d3_1, escala 1–5). Se excluyó un segundo ítem sobre el uso de armas por parte de agricultores (d3_2) porque opera por un mecanismo distinto — defensa privada de propiedad versus legitimidad institucional — y no responde simétricamente al diseño espejo, ya que los «agricultores» constituyen el ingroup para no indígenas y el outgroup para indígenas. La</w:t>
      </w:r>
      <w:r>
        <w:t xml:space="preserve"> </w:t>
      </w:r>
      <w:r>
        <w:rPr>
          <w:b/>
          <w:bCs/>
        </w:rPr>
        <w:t xml:space="preserve">justificación de la violencia por el cambio social</w:t>
      </w:r>
      <w:r>
        <w:t xml:space="preserve"> </w:t>
      </w:r>
      <w:r>
        <w:t xml:space="preserve">(</w:t>
      </w:r>
      <w:r>
        <w:rPr>
          <w:rStyle w:val="VerbatimChar"/>
        </w:rPr>
        <w:t xml:space="preserve">idx_vio_resguardo</w:t>
      </w:r>
      <w:r>
        <w:t xml:space="preserve">) captura la legitimación de acciones disruptivas orientadas a transformar el orden vigente (tomas de terrenos y cortes de caminos; d4_2 + d4_3, α = 0,746).</w:t>
      </w:r>
    </w:p>
    <w:p>
      <w:pPr>
        <w:pStyle w:val="BodyText"/>
      </w:pPr>
      <w:r>
        <w:t xml:space="preserve">Los índices compuestos de dos ítems (violencia de cambio social; identidad étnica,</w:t>
      </w:r>
      <w:r>
        <w:t xml:space="preserve"> </w:t>
      </w:r>
      <w:r>
        <w:rPr>
          <w:i/>
          <w:iCs/>
        </w:rPr>
        <w:t xml:space="preserve">r</w:t>
      </w:r>
      <w:r>
        <w:t xml:space="preserve"> </w:t>
      </w:r>
      <w:r>
        <w:t xml:space="preserve">≈ 0,82) muestran consistencia interna adecuada. Los ítems únicos (represión estatal, justicia procedimental ingroup/outgroup) no requieren estimación de α (</w:t>
      </w:r>
      <w:hyperlink w:anchor="tbl-apendice-alpha">
        <w:r>
          <w:rPr>
            <w:rStyle w:val="Hyperlink"/>
          </w:rPr>
          <w:t xml:space="preserve">Tabla 16</w:t>
        </w:r>
      </w:hyperlink>
      <w:r>
        <w:t xml:space="preserve">).</w:t>
      </w:r>
    </w:p>
    <w:p>
      <w:pPr>
        <w:pStyle w:val="BodyText"/>
      </w:pPr>
      <w:r>
        <w:t xml:space="preserve">La variable de</w:t>
      </w:r>
      <w:r>
        <w:t xml:space="preserve"> </w:t>
      </w:r>
      <w:r>
        <w:rPr>
          <w:b/>
          <w:bCs/>
        </w:rPr>
        <w:t xml:space="preserve">asignación espacial al tratamiento</w:t>
      </w:r>
      <w:r>
        <w:t xml:space="preserve"> </w:t>
      </w:r>
      <w:r>
        <w:t xml:space="preserve">(</w:t>
      </w:r>
      <w:r>
        <w:rPr>
          <w:rStyle w:val="VerbatimChar"/>
        </w:rPr>
        <w:t xml:space="preserve">cerca_conflicto</w:t>
      </w:r>
      <w:r>
        <w:t xml:space="preserve"> </w:t>
      </w:r>
      <w:r>
        <w:t xml:space="preserve">o</w:t>
      </w:r>
      <w:r>
        <w:t xml:space="preserve"> </w:t>
      </w:r>
      <w:r>
        <w:rPr>
          <w:rStyle w:val="VerbatimChar"/>
        </w:rPr>
        <w:t xml:space="preserve">zona_excepcion</w:t>
      </w:r>
      <w:r>
        <w:t xml:space="preserve">) identifica a los individuos residentes en las 53 comunas afectadas por el decreto D.S. N°418/2021. Sin embargo, dado que el estado de excepción fue decretado en octubre de 2021 —cinco meses después del término del campo de ola 3 (mayo 2021)—, el período de</w:t>
      </w:r>
      <w:r>
        <w:t xml:space="preserve"> </w:t>
      </w:r>
      <w:r>
        <w:rPr>
          <w:b/>
          <w:bCs/>
        </w:rPr>
        <w:t xml:space="preserve">exposición efectiva al tratamiento</w:t>
      </w:r>
      <w:r>
        <w:t xml:space="preserve"> </w:t>
      </w:r>
      <w:r>
        <w:t xml:space="preserve">corresponde a la ola 4 (2023), cuando el régimen de excepción ya llevaba dos años de implementación continua. En la especificación DiD, el efecto causal de interés se estima mediante la</w:t>
      </w:r>
      <w:r>
        <w:t xml:space="preserve"> </w:t>
      </w:r>
      <w:r>
        <w:rPr>
          <w:b/>
          <w:bCs/>
        </w:rPr>
        <w:t xml:space="preserve">triple interacción</w:t>
      </w:r>
      <w:r>
        <w:t xml:space="preserve"> </w:t>
      </w:r>
      <w:r>
        <w:t xml:space="preserve">ola 4 × identidad indígena × zona de excepción (τ₄):</w:t>
      </w:r>
    </w:p>
    <w:p>
      <w:pPr>
        <w:pStyle w:val="BodyText"/>
      </w:pPr>
      <m:oMathPara>
        <m:oMathParaPr>
          <m:jc m:val="center"/>
        </m:oMathParaPr>
        <m:oMath>
          <m:sSub>
            <m:e>
              <m:r>
                <m:t>τ</m:t>
              </m:r>
            </m:e>
            <m:sub>
              <m:r>
                <m:t>4</m:t>
              </m:r>
            </m:sub>
          </m:sSub>
          <m:r>
            <m:rPr>
              <m:sty m:val="p"/>
            </m:rPr>
            <m:t>=</m:t>
          </m:r>
          <m:r>
            <m:t>β</m:t>
          </m:r>
          <m:d>
            <m:dPr>
              <m:begChr m:val="("/>
              <m:endChr m:val=")"/>
              <m:sepChr m:val=""/>
              <m:grow/>
            </m:dPr>
            <m:e>
              <m:sSub>
                <m:e>
                  <m:r>
                    <m:rPr>
                      <m:nor/>
                      <m:sty m:val="p"/>
                    </m:rPr>
                    <m:t>Ola</m:t>
                  </m:r>
                </m:e>
                <m:sub>
                  <m:r>
                    <m:t>4</m:t>
                  </m:r>
                </m:sub>
              </m:sSub>
              <m:r>
                <m:rPr>
                  <m:sty m:val="p"/>
                </m:rPr>
                <m:t>×</m:t>
              </m:r>
              <m:r>
                <m:rPr>
                  <m:nor/>
                  <m:sty m:val="p"/>
                </m:rPr>
                <m:t>Indígena</m:t>
              </m:r>
              <m:r>
                <m:rPr>
                  <m:sty m:val="p"/>
                </m:rPr>
                <m:t>×</m:t>
              </m:r>
              <m:r>
                <m:rPr>
                  <m:nor/>
                  <m:sty m:val="p"/>
                </m:rPr>
                <m:t>Zona excepción</m:t>
              </m:r>
            </m:e>
          </m:d>
        </m:oMath>
      </m:oMathPara>
    </w:p>
    <w:p>
      <w:pPr>
        <w:pStyle w:val="FirstParagraph"/>
      </w:pPr>
      <w:r>
        <w:t xml:space="preserve">que captura el cambio diferencial en actitudes entre grupos expuestos y no expuestos al decreto prolongado, controlando por tendencias temporales generales (efectos de período) y diferencias preexistentes entre zonas. Los controles incluyen identificación con Chile (a6), identificación con la causa indígena (d6_1), percepción de desigualdad (c22 invertida), malestar por diferencias (c24), apoyo a movilizaciones (c25), sexo, edad y zona urbano/rural. Esta última se incluye condicionalmente según su correlación con</w:t>
      </w:r>
      <w:r>
        <w:t xml:space="preserve"> </w:t>
      </w:r>
      <w:r>
        <w:rPr>
          <w:rStyle w:val="VerbatimChar"/>
        </w:rPr>
        <w:t xml:space="preserve">cerca_conflicto</w:t>
      </w:r>
      <w:r>
        <w:t xml:space="preserve"> </w:t>
      </w:r>
      <w:r>
        <w:t xml:space="preserve">(umbral |</w:t>
      </w:r>
      <w:r>
        <w:rPr>
          <w:i/>
          <w:iCs/>
        </w:rPr>
        <w:t xml:space="preserve">r</w:t>
      </w:r>
      <w:r>
        <w:t xml:space="preserve">| ≤ 0,5; en estos datos</w:t>
      </w:r>
      <w:r>
        <w:t xml:space="preserve"> </w:t>
      </w:r>
      <w:r>
        <w:rPr>
          <w:i/>
          <w:iCs/>
        </w:rPr>
        <w:t xml:space="preserve">r</w:t>
      </w:r>
      <w:r>
        <w:t xml:space="preserve"> </w:t>
      </w:r>
      <w:r>
        <w:t xml:space="preserve">= 0,35, por lo que se incluye). La percepción de injusticia (c23) se excluye de los modelos principales por missingness elevado (~46 % por ola); un modelo de sensibilidad con este control figura en el Apéndice (</w:t>
      </w:r>
      <w:hyperlink w:anchor="sec-apendice-a7">
        <w:r>
          <w:rPr>
            <w:rStyle w:val="Hyperlink"/>
          </w:rPr>
          <w:t xml:space="preserve">Sección 9.5</w:t>
        </w:r>
      </w:hyperlink>
      <w:r>
        <w:t xml:space="preserve">).</w:t>
      </w:r>
    </w:p>
    <w:p>
      <w:pPr>
        <w:pStyle w:val="BodyText"/>
      </w:pPr>
      <w:r>
        <w:rPr>
          <w:rStyle w:val="VerbatimChar"/>
        </w:rPr>
        <w:t xml:space="preserve">idx_just_proc</w:t>
      </w:r>
      <w:r>
        <w:t xml:space="preserve"> </w:t>
      </w:r>
      <w:r>
        <w:t xml:space="preserve">se trata como</w:t>
      </w:r>
      <w:r>
        <w:t xml:space="preserve"> </w:t>
      </w:r>
      <w:r>
        <w:rPr>
          <w:b/>
          <w:bCs/>
        </w:rPr>
        <w:t xml:space="preserve">variable de mecanismo</w:t>
      </w:r>
      <w:r>
        <w:t xml:space="preserve"> </w:t>
      </w:r>
      <w:r>
        <w:t xml:space="preserve">(mediadora exploratoria), no como variable dependiente principal.</w:t>
      </w:r>
    </w:p>
    <w:bookmarkEnd w:id="43"/>
    <w:bookmarkStart w:id="44" w:name="sec-estrategia"/>
    <w:p>
      <w:pPr>
        <w:pStyle w:val="Heading2"/>
      </w:pPr>
      <w:r>
        <w:t xml:space="preserve">3.4 Estrategia analítica</w:t>
      </w:r>
    </w:p>
    <w:p>
      <w:pPr>
        <w:pStyle w:val="FirstParagraph"/>
      </w:pPr>
      <w:r>
        <w:t xml:space="preserve">Se estiman modelos multinivel con intercepto aleatorio por individuo (</w:t>
      </w:r>
      <w:r>
        <w:rPr>
          <w:rStyle w:val="VerbatimChar"/>
        </w:rPr>
        <w:t xml:space="preserve">folio</w:t>
      </w:r>
      <w:r>
        <w:t xml:space="preserve">). El coeficiente de interés es la triple interacción</w:t>
      </w:r>
      <w:r>
        <w:t xml:space="preserve"> </w:t>
      </w:r>
      <w:r>
        <w:rPr>
          <w:b/>
          <w:bCs/>
        </w:rPr>
        <w:t xml:space="preserve">Ola 4 × identidad indígena × zona de excepción</w:t>
      </w:r>
      <w:r>
        <w:t xml:space="preserve"> </w:t>
      </w:r>
      <w:r>
        <w:t xml:space="preserve">(</w:t>
      </w:r>
      <m:oMath>
        <m:sSub>
          <m:e>
            <m:r>
              <m:t>τ</m:t>
            </m:r>
          </m:e>
          <m:sub>
            <m:r>
              <m:t>4</m:t>
            </m:r>
          </m:sub>
        </m:sSub>
      </m:oMath>
      <w:r>
        <w:t xml:space="preserve">). El análisis de mecanismo descompone la justicia procedimental en percepción ingroup y outgroup, estimando modelos con mediadores rezagados (valor en ola anterior) para aproximar precedencia temporal. Los análisis de robustez (PSM, IPW, placebo, modelos por ítem y codificación ordinal) se reportan en el Apéndice (</w:t>
      </w:r>
      <w:hyperlink w:anchor="sec-apendice-robustez">
        <w:r>
          <w:rPr>
            <w:rStyle w:val="Hyperlink"/>
          </w:rPr>
          <w:t xml:space="preserve">Sección 9.3</w:t>
        </w:r>
      </w:hyperlink>
      <w:r>
        <w:t xml:space="preserve">). Como extensión, se estiman modelos logísticos del plebiscito de 2022 (capturado retrospectivamente en ola 4, 2023).</w:t>
      </w:r>
    </w:p>
    <w:bookmarkEnd w:id="44"/>
    <w:bookmarkEnd w:id="45"/>
    <w:bookmarkStart w:id="58" w:name="sec-modelo"/>
    <w:p>
      <w:pPr>
        <w:pStyle w:val="Heading1"/>
      </w:pPr>
      <w:r>
        <w:t xml:space="preserve">4. Modelo estadístico</w:t>
      </w:r>
    </w:p>
    <w:bookmarkStart w:id="49" w:name="Xac7ef72b3197640fd3ad99da80eceb20f551fe9"/>
    <w:p>
      <w:pPr>
        <w:pStyle w:val="Heading2"/>
      </w:pPr>
      <w:r>
        <w:t xml:space="preserve">4.1 Modelo multinivel de efectos fijos con DiD</w:t>
      </w:r>
    </w:p>
    <w:p>
      <w:pPr>
        <w:pStyle w:val="FirstParagraph"/>
      </w:pPr>
      <w:r>
        <w:t xml:space="preserve">Las observaciones están anidadas en individuos (</w:t>
      </w:r>
      <w:r>
        <w:rPr>
          <w:i/>
          <w:iCs/>
        </w:rPr>
        <w:t xml:space="preserve">N</w:t>
      </w:r>
      <w:r>
        <w:t xml:space="preserve"> </w:t>
      </w:r>
      <w:r>
        <w:t xml:space="preserve">= 1.580) a través del tiempo. Se estiman modelos multinivel con intercepto aleatorio por</w:t>
      </w:r>
      <w:r>
        <w:t xml:space="preserve"> </w:t>
      </w:r>
      <w:r>
        <w:rPr>
          <w:rStyle w:val="VerbatimChar"/>
        </w:rPr>
        <w:t xml:space="preserve">folio</w:t>
      </w:r>
      <w:r>
        <w:t xml:space="preserve"> </w:t>
      </w:r>
      <w:r>
        <w:t xml:space="preserve">(</w:t>
      </w:r>
      <w:r>
        <w:rPr>
          <w:rStyle w:val="VerbatimChar"/>
        </w:rPr>
        <w:t xml:space="preserve">(1 | folio)</w:t>
      </w:r>
      <w:r>
        <w:t xml:space="preserve">). La categoría de referencia combina personas no indígenas, residentes lejos de la zona de excepción, en la ola 2 (período pre-tratamiento). El coeficiente principal de interés es la triple interacción</w:t>
      </w:r>
      <w:r>
        <w:t xml:space="preserve"> </w:t>
      </w:r>
      <w:r>
        <w:rPr>
          <w:b/>
          <w:bCs/>
        </w:rPr>
        <w:t xml:space="preserve">Ola 4 × identidad indígena × zona de excepción</w:t>
      </w:r>
      <w:r>
        <w:t xml:space="preserve">, que estima el cambio diferencial post-tratamiento del grupo indígena residente en zona de excepción respecto a los grupos de comparación. En conjunto, el modelo opera como una triple interacción entre período, identidad indígena y cercanía territorial al conflicto.</w:t>
      </w:r>
    </w:p>
    <w:p>
      <w:pPr>
        <w:pStyle w:val="BodyText"/>
      </w:pPr>
      <w:r>
        <w:t xml:space="preserve">El modelo base (M1) se especifica en</w:t>
      </w:r>
      <w:r>
        <w:t xml:space="preserve"> </w:t>
      </w:r>
      <w:hyperlink w:anchor="eq-m1">
        <w:r>
          <w:rPr>
            <w:rStyle w:val="Hyperlink"/>
          </w:rPr>
          <w:t xml:space="preserve">Ecuación 1</w:t>
        </w:r>
      </w:hyperlink>
      <w:r>
        <w:t xml:space="preserve">:</w:t>
      </w:r>
    </w:p>
    <w:p>
      <w:pPr>
        <w:pStyle w:val="BodyText"/>
      </w:pPr>
      <w:bookmarkStart w:id="46" w:name="eq-m1"/>
      <m:oMathPara>
        <m:oMathParaPr>
          <m:jc m:val="center"/>
        </m:oMathParaPr>
        <m:oMath>
          <m:m>
            <m:mPr>
              <m:baseJc m:val="center"/>
              <m:plcHide m:val="on"/>
              <m:mcs>
                <m:mc>
                  <m:mcPr>
                    <m:mcJc m:val="right"/>
                    <m:count m:val="1"/>
                  </m:mcPr>
                </m:mc>
                <m:mc>
                  <m:mcPr>
                    <m:mcJc m:val="left"/>
                    <m:count m:val="1"/>
                  </m:mcPr>
                </m:mc>
              </m:mcs>
            </m:mPr>
            <m:mr>
              <m:e>
                <m:sSub>
                  <m:e>
                    <m:r>
                      <m:t>Y</m:t>
                    </m:r>
                  </m:e>
                  <m:sub>
                    <m:r>
                      <m:t>i</m:t>
                    </m:r>
                    <m:r>
                      <m:t>t</m:t>
                    </m:r>
                  </m:sub>
                </m:sSub>
                <m:r>
                  <m:rPr>
                    <m:sty m:val="p"/>
                  </m:rPr>
                  <m:t>=</m:t>
                </m:r>
                <m:sSub>
                  <m:e>
                    <m:r>
                      <m:t>β</m:t>
                    </m:r>
                  </m:e>
                  <m:sub>
                    <m:r>
                      <m:t>0</m:t>
                    </m:r>
                  </m:sub>
                </m:sSub>
              </m:e>
              <m:e>
                <m:r>
                  <m:rPr>
                    <m:sty m:val="p"/>
                  </m:rPr>
                  <m:t>+</m:t>
                </m:r>
                <m:sSub>
                  <m:e>
                    <m:r>
                      <m:t>β</m:t>
                    </m:r>
                  </m:e>
                  <m:sub>
                    <m:r>
                      <m:t>1</m:t>
                    </m:r>
                  </m:sub>
                </m:sSub>
                <m:sSub>
                  <m:e>
                    <m:r>
                      <m:rPr>
                        <m:nor/>
                        <m:sty m:val="p"/>
                      </m:rPr>
                      <m:t>Ola3</m:t>
                    </m:r>
                  </m:e>
                  <m:sub>
                    <m:r>
                      <m:t>i</m:t>
                    </m:r>
                    <m:r>
                      <m:t>t</m:t>
                    </m:r>
                  </m:sub>
                </m:sSub>
                <m:r>
                  <m:rPr>
                    <m:sty m:val="p"/>
                  </m:rPr>
                  <m:t>+</m:t>
                </m:r>
                <m:sSub>
                  <m:e>
                    <m:r>
                      <m:t>β</m:t>
                    </m:r>
                  </m:e>
                  <m:sub>
                    <m:r>
                      <m:t>2</m:t>
                    </m:r>
                  </m:sub>
                </m:sSub>
                <m:sSub>
                  <m:e>
                    <m:r>
                      <m:rPr>
                        <m:nor/>
                        <m:sty m:val="p"/>
                      </m:rPr>
                      <m:t>Ola4</m:t>
                    </m:r>
                  </m:e>
                  <m:sub>
                    <m:r>
                      <m:t>i</m:t>
                    </m:r>
                    <m:r>
                      <m:t>t</m:t>
                    </m:r>
                  </m:sub>
                </m:sSub>
                <m:r>
                  <m:rPr>
                    <m:sty m:val="p"/>
                  </m:rPr>
                  <m:t>+</m:t>
                </m:r>
                <m:sSub>
                  <m:e>
                    <m:r>
                      <m:t>β</m:t>
                    </m:r>
                  </m:e>
                  <m:sub>
                    <m:r>
                      <m:t>3</m:t>
                    </m:r>
                  </m:sub>
                </m:sSub>
                <m:sSub>
                  <m:e>
                    <m:r>
                      <m:rPr>
                        <m:nor/>
                        <m:sty m:val="p"/>
                      </m:rPr>
                      <m:t>Indi</m:t>
                    </m:r>
                  </m:e>
                  <m:sub>
                    <m:r>
                      <m:t>i</m:t>
                    </m:r>
                  </m:sub>
                </m:sSub>
                <m:r>
                  <m:rPr>
                    <m:sty m:val="p"/>
                  </m:rPr>
                  <m:t>+</m:t>
                </m:r>
                <m:sSub>
                  <m:e>
                    <m:r>
                      <m:t>β</m:t>
                    </m:r>
                  </m:e>
                  <m:sub>
                    <m:r>
                      <m:t>4</m:t>
                    </m:r>
                  </m:sub>
                </m:sSub>
                <m:sSub>
                  <m:e>
                    <m:r>
                      <m:rPr>
                        <m:nor/>
                        <m:sty m:val="p"/>
                      </m:rPr>
                      <m:t>Zona</m:t>
                    </m:r>
                  </m:e>
                  <m:sub>
                    <m:r>
                      <m:t>i</m:t>
                    </m:r>
                  </m:sub>
                </m:sSub>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1</m:t>
              </m:r>
            </m:e>
          </m:d>
        </m:oMath>
      </m:oMathPara>
      <w:bookmarkEnd w:id="46"/>
    </w:p>
    <w:p>
      <w:pPr>
        <w:pStyle w:val="FirstParagraph"/>
      </w:pPr>
      <w:r>
        <w:t xml:space="preserve">El modelo DiD completo (M2) incorpora interacciones de segundo y tercer orden (</w:t>
      </w:r>
      <w:hyperlink w:anchor="eq-m2">
        <w:r>
          <w:rPr>
            <w:rStyle w:val="Hyperlink"/>
          </w:rPr>
          <w:t xml:space="preserve">Ecuación 2</w:t>
        </w:r>
      </w:hyperlink>
      <w:r>
        <w:t xml:space="preserve">):</w:t>
      </w:r>
    </w:p>
    <w:p>
      <w:pPr>
        <w:pStyle w:val="BodyText"/>
      </w:pPr>
      <w:bookmarkStart w:id="47" w:name="eq-m2"/>
      <m:oMathPara>
        <m:oMathParaPr>
          <m:jc m:val="center"/>
        </m:oMathParaPr>
        <m:oMath>
          <m:m>
            <m:mPr>
              <m:baseJc m:val="center"/>
              <m:plcHide m:val="on"/>
              <m:mcs>
                <m:mc>
                  <m:mcPr>
                    <m:mcJc m:val="right"/>
                    <m:count m:val="1"/>
                  </m:mcPr>
                </m:mc>
                <m:mc>
                  <m:mcPr>
                    <m:mcJc m:val="left"/>
                    <m:count m:val="1"/>
                  </m:mcPr>
                </m:mc>
              </m:mcs>
            </m:mPr>
            <m:mr>
              <m:e>
                <m:sSub>
                  <m:e>
                    <m:r>
                      <m:t>Y</m:t>
                    </m:r>
                  </m:e>
                  <m:sub>
                    <m:r>
                      <m:t>i</m:t>
                    </m:r>
                    <m:r>
                      <m:t>t</m:t>
                    </m:r>
                  </m:sub>
                </m:sSub>
                <m:r>
                  <m:rPr>
                    <m:sty m:val="p"/>
                  </m:rPr>
                  <m:t>=</m:t>
                </m:r>
                <m:sSub>
                  <m:e>
                    <m:r>
                      <m:t>β</m:t>
                    </m:r>
                  </m:e>
                  <m:sub>
                    <m:r>
                      <m:t>0</m:t>
                    </m:r>
                  </m:sub>
                </m:sSub>
              </m:e>
              <m:e>
                <m:r>
                  <m:rPr>
                    <m:sty m:val="p"/>
                  </m:rPr>
                  <m:t>+</m:t>
                </m:r>
                <m:nary>
                  <m:naryPr>
                    <m:chr m:val="∑"/>
                    <m:limLoc m:val="undOvr"/>
                    <m:subHide m:val="off"/>
                    <m:supHide m:val="on"/>
                  </m:naryPr>
                  <m:sub>
                    <m:r>
                      <m:t>t</m:t>
                    </m:r>
                    <m:r>
                      <m:rPr>
                        <m:sty m:val="p"/>
                      </m:rPr>
                      <m:t>∈</m:t>
                    </m:r>
                    <m:r>
                      <m:rPr>
                        <m:sty m:val="p"/>
                      </m:rPr>
                      <m:t>{</m:t>
                    </m:r>
                    <m:r>
                      <m:t>3</m:t>
                    </m:r>
                    <m:r>
                      <m:rPr>
                        <m:sty m:val="p"/>
                      </m:rPr>
                      <m:t>,</m:t>
                    </m:r>
                    <m:r>
                      <m:t>4</m:t>
                    </m:r>
                    <m:r>
                      <m:rPr>
                        <m:sty m:val="p"/>
                      </m:rPr>
                      <m:t>}</m:t>
                    </m:r>
                  </m:sub>
                  <m:sup>
                    <m:r>
                      <m:t>​</m:t>
                    </m:r>
                  </m:sup>
                  <m:e>
                    <m:sSub>
                      <m:e>
                        <m:r>
                          <m:t>β</m:t>
                        </m:r>
                      </m:e>
                      <m:sub>
                        <m:r>
                          <m:t>t</m:t>
                        </m:r>
                      </m:sub>
                    </m:sSub>
                  </m:e>
                </m:nary>
                <m:sSub>
                  <m:e>
                    <m:r>
                      <m:rPr>
                        <m:nor/>
                        <m:sty m:val="p"/>
                      </m:rPr>
                      <m:t>Ola</m:t>
                    </m:r>
                  </m:e>
                  <m:sub>
                    <m:r>
                      <m:t>t</m:t>
                    </m:r>
                  </m:sub>
                </m:sSub>
                <m:r>
                  <m:rPr>
                    <m:sty m:val="p"/>
                  </m:rPr>
                  <m:t>+</m:t>
                </m:r>
                <m:sSub>
                  <m:e>
                    <m:r>
                      <m:t>β</m:t>
                    </m:r>
                  </m:e>
                  <m:sub>
                    <m:r>
                      <m:t>3</m:t>
                    </m:r>
                  </m:sub>
                </m:sSub>
                <m:sSub>
                  <m:e>
                    <m:r>
                      <m:rPr>
                        <m:nor/>
                        <m:sty m:val="p"/>
                      </m:rPr>
                      <m:t>Indi</m:t>
                    </m:r>
                  </m:e>
                  <m:sub>
                    <m:r>
                      <m:t>i</m:t>
                    </m:r>
                  </m:sub>
                </m:sSub>
                <m:r>
                  <m:rPr>
                    <m:sty m:val="p"/>
                  </m:rPr>
                  <m:t>+</m:t>
                </m:r>
                <m:sSub>
                  <m:e>
                    <m:r>
                      <m:t>β</m:t>
                    </m:r>
                  </m:e>
                  <m:sub>
                    <m:r>
                      <m:t>4</m:t>
                    </m:r>
                  </m:sub>
                </m:sSub>
                <m:sSub>
                  <m:e>
                    <m:r>
                      <m:rPr>
                        <m:nor/>
                        <m:sty m:val="p"/>
                      </m:rPr>
                      <m:t>Zona</m:t>
                    </m:r>
                  </m:e>
                  <m:sub>
                    <m:r>
                      <m:t>i</m:t>
                    </m:r>
                  </m:sub>
                </m:sSub>
              </m:e>
            </m:mr>
            <m:mr>
              <m:e/>
              <m:e>
                <m:r>
                  <m:rPr>
                    <m:sty m:val="p"/>
                  </m:rPr>
                  <m:t>+</m:t>
                </m:r>
                <m:nary>
                  <m:naryPr>
                    <m:chr m:val="∑"/>
                    <m:limLoc m:val="undOvr"/>
                    <m:subHide m:val="off"/>
                    <m:supHide m:val="on"/>
                  </m:naryPr>
                  <m:sub>
                    <m:r>
                      <m:t>t</m:t>
                    </m:r>
                  </m:sub>
                  <m:sup>
                    <m:r>
                      <m:t>​</m:t>
                    </m:r>
                  </m:sup>
                  <m:e>
                    <m:sSub>
                      <m:e>
                        <m:r>
                          <m:t>δ</m:t>
                        </m:r>
                      </m:e>
                      <m:sub>
                        <m:r>
                          <m:t>t</m:t>
                        </m:r>
                      </m:sub>
                    </m:sSub>
                  </m:e>
                </m:nary>
                <m:d>
                  <m:dPr>
                    <m:begChr m:val="("/>
                    <m:endChr m:val=")"/>
                    <m:sepChr m:val=""/>
                    <m:grow/>
                  </m:dPr>
                  <m:e>
                    <m:sSub>
                      <m:e>
                        <m:r>
                          <m:rPr>
                            <m:nor/>
                            <m:sty m:val="p"/>
                          </m:rPr>
                          <m:t>Ola</m:t>
                        </m:r>
                      </m:e>
                      <m:sub>
                        <m:r>
                          <m:t>t</m:t>
                        </m:r>
                      </m:sub>
                    </m:sSub>
                    <m:r>
                      <m:rPr>
                        <m:sty m:val="p"/>
                      </m:rPr>
                      <m:t>×</m:t>
                    </m:r>
                    <m:sSub>
                      <m:e>
                        <m:r>
                          <m:rPr>
                            <m:nor/>
                            <m:sty m:val="p"/>
                          </m:rPr>
                          <m:t>Zona</m:t>
                        </m:r>
                      </m:e>
                      <m:sub>
                        <m:r>
                          <m:t>i</m:t>
                        </m:r>
                      </m:sub>
                    </m:sSub>
                  </m:e>
                </m:d>
                <m:r>
                  <m:rPr>
                    <m:sty m:val="p"/>
                  </m:rPr>
                  <m:t>+</m:t>
                </m:r>
                <m:nary>
                  <m:naryPr>
                    <m:chr m:val="∑"/>
                    <m:limLoc m:val="undOvr"/>
                    <m:subHide m:val="off"/>
                    <m:supHide m:val="on"/>
                  </m:naryPr>
                  <m:sub>
                    <m:r>
                      <m:t>t</m:t>
                    </m:r>
                  </m:sub>
                  <m:sup>
                    <m:r>
                      <m:t>​</m:t>
                    </m:r>
                  </m:sup>
                  <m:e>
                    <m:sSub>
                      <m:e>
                        <m:r>
                          <m:t>θ</m:t>
                        </m:r>
                      </m:e>
                      <m:sub>
                        <m:r>
                          <m:t>t</m:t>
                        </m:r>
                      </m:sub>
                    </m:sSub>
                  </m:e>
                </m:nary>
                <m:d>
                  <m:dPr>
                    <m:begChr m:val="("/>
                    <m:endChr m:val=")"/>
                    <m:sepChr m:val=""/>
                    <m:grow/>
                  </m:dPr>
                  <m:e>
                    <m:sSub>
                      <m:e>
                        <m:r>
                          <m:rPr>
                            <m:nor/>
                            <m:sty m:val="p"/>
                          </m:rPr>
                          <m:t>Ola</m:t>
                        </m:r>
                      </m:e>
                      <m:sub>
                        <m:r>
                          <m:t>t</m:t>
                        </m:r>
                      </m:sub>
                    </m:sSub>
                    <m:r>
                      <m:rPr>
                        <m:sty m:val="p"/>
                      </m:rPr>
                      <m:t>×</m:t>
                    </m:r>
                    <m:sSub>
                      <m:e>
                        <m:r>
                          <m:rPr>
                            <m:nor/>
                            <m:sty m:val="p"/>
                          </m:rPr>
                          <m:t>Indi</m:t>
                        </m:r>
                      </m:e>
                      <m:sub>
                        <m:r>
                          <m:t>i</m:t>
                        </m:r>
                      </m:sub>
                    </m:sSub>
                  </m:e>
                </m:d>
              </m:e>
            </m:mr>
            <m:mr>
              <m:e/>
              <m:e>
                <m:r>
                  <m:rPr>
                    <m:sty m:val="p"/>
                  </m:rPr>
                  <m:t>+</m:t>
                </m:r>
                <m:r>
                  <m:t>λ</m:t>
                </m:r>
                <m:d>
                  <m:dPr>
                    <m:begChr m:val="("/>
                    <m:endChr m:val=")"/>
                    <m:sepChr m:val=""/>
                    <m:grow/>
                  </m:dPr>
                  <m:e>
                    <m:sSub>
                      <m:e>
                        <m:r>
                          <m:rPr>
                            <m:nor/>
                            <m:sty m:val="p"/>
                          </m:rPr>
                          <m:t>Indi</m:t>
                        </m:r>
                      </m:e>
                      <m:sub>
                        <m:r>
                          <m:t>i</m:t>
                        </m:r>
                      </m:sub>
                    </m:sSub>
                    <m:r>
                      <m:rPr>
                        <m:sty m:val="p"/>
                      </m:rPr>
                      <m:t>×</m:t>
                    </m:r>
                    <m:sSub>
                      <m:e>
                        <m:r>
                          <m:rPr>
                            <m:nor/>
                            <m:sty m:val="p"/>
                          </m:rPr>
                          <m:t>Zona</m:t>
                        </m:r>
                      </m:e>
                      <m:sub>
                        <m:r>
                          <m:t>i</m:t>
                        </m:r>
                      </m:sub>
                    </m:sSub>
                  </m:e>
                </m:d>
                <m:r>
                  <m:rPr>
                    <m:sty m:val="p"/>
                  </m:rPr>
                  <m:t>+</m:t>
                </m:r>
                <m:nary>
                  <m:naryPr>
                    <m:chr m:val="∑"/>
                    <m:limLoc m:val="undOvr"/>
                    <m:subHide m:val="off"/>
                    <m:supHide m:val="on"/>
                  </m:naryPr>
                  <m:sub>
                    <m:r>
                      <m:t>t</m:t>
                    </m:r>
                  </m:sub>
                  <m:sup>
                    <m:r>
                      <m:t>​</m:t>
                    </m:r>
                  </m:sup>
                  <m:e>
                    <m:sSub>
                      <m:e>
                        <m:r>
                          <m:t>τ</m:t>
                        </m:r>
                      </m:e>
                      <m:sub>
                        <m:r>
                          <m:t>t</m:t>
                        </m:r>
                      </m:sub>
                    </m:sSub>
                  </m:e>
                </m:nary>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2</m:t>
              </m:r>
            </m:e>
          </m:d>
        </m:oMath>
      </m:oMathPara>
      <w:bookmarkEnd w:id="47"/>
    </w:p>
    <w:p>
      <w:pPr>
        <w:pStyle w:val="FirstParagraph"/>
      </w:pPr>
      <w:r>
        <w:t xml:space="preserve">Los coeficientes de interés son</w:t>
      </w:r>
      <w:r>
        <w:t xml:space="preserve"> </w:t>
      </w:r>
      <m:oMath>
        <m:sSub>
          <m:e>
            <m:r>
              <m:t>τ</m:t>
            </m:r>
          </m:e>
          <m:sub>
            <m:r>
              <m:t>t</m:t>
            </m:r>
          </m:sub>
        </m:sSub>
      </m:oMath>
      <w:r>
        <w:t xml:space="preserve">, especialmente</w:t>
      </w:r>
      <w:r>
        <w:t xml:space="preserve"> </w:t>
      </w:r>
      <m:oMath>
        <m:sSub>
          <m:e>
            <m:r>
              <m:t>τ</m:t>
            </m:r>
          </m:e>
          <m:sub>
            <m:r>
              <m:t>4</m:t>
            </m:r>
          </m:sub>
        </m:sSub>
      </m:oMath>
      <w:r>
        <w:t xml:space="preserve"> </w:t>
      </w:r>
      <w:r>
        <w:t xml:space="preserve">(ola 4 × indígena × zona excepción), que captura el efecto diferencial post-tratamiento para indígenas en zona de excepción respecto a todos los demás grupos (</w:t>
      </w:r>
      <w:hyperlink w:anchor="eq-tau">
        <w:r>
          <w:rPr>
            <w:rStyle w:val="Hyperlink"/>
          </w:rPr>
          <w:t xml:space="preserve">Ecuación 3</w:t>
        </w:r>
      </w:hyperlink>
      <w:r>
        <w:t xml:space="preserve">):</w:t>
      </w:r>
    </w:p>
    <w:p>
      <w:pPr>
        <w:pStyle w:val="BodyText"/>
      </w:pPr>
      <w:bookmarkStart w:id="48" w:name="eq-tau"/>
      <m:oMathPara>
        <m:oMathParaPr>
          <m:jc m:val="center"/>
        </m:oMathParaPr>
        <m:oMath>
          <m:m>
            <m:mPr>
              <m:baseJc m:val="center"/>
              <m:plcHide m:val="on"/>
              <m:mcs>
                <m:mc>
                  <m:mcPr>
                    <m:mcJc m:val="right"/>
                    <m:count m:val="1"/>
                  </m:mcPr>
                </m:mc>
                <m:mc>
                  <m:mcPr>
                    <m:mcJc m:val="left"/>
                    <m:count m:val="1"/>
                  </m:mcPr>
                </m:mc>
              </m:mcs>
            </m:mPr>
            <m:mr>
              <m:e>
                <m:sSub>
                  <m:e>
                    <m:acc>
                      <m:accPr>
                        <m:chr m:val="̂"/>
                      </m:accPr>
                      <m:e>
                        <m:r>
                          <m:t>τ</m:t>
                        </m:r>
                      </m:e>
                    </m:acc>
                  </m:e>
                  <m:sub>
                    <m:r>
                      <m:t>4</m:t>
                    </m:r>
                  </m:sub>
                </m:sSub>
                <m:r>
                  <m:rPr>
                    <m:sty m:val="p"/>
                  </m:rPr>
                  <m:t>=</m:t>
                </m:r>
                <m:r>
                  <m:t> </m:t>
                </m:r>
              </m:e>
              <m:e>
                <m:limLow>
                  <m:e>
                    <m:limLow>
                      <m:e>
                        <m:d>
                          <m:dPr>
                            <m:begChr m:val="("/>
                            <m:endChr m:val=")"/>
                            <m:sepChr m:val=""/>
                            <m:grow/>
                          </m:dPr>
                          <m:e>
                            <m:sSubSup>
                              <m:e>
                                <m:acc>
                                  <m:accPr>
                                    <m:chr m:val="‾"/>
                                  </m:accPr>
                                  <m:e>
                                    <m:r>
                                      <m:t>Y</m:t>
                                    </m:r>
                                  </m:e>
                                </m:acc>
                              </m:e>
                              <m:sub>
                                <m:r>
                                  <m:t>4</m:t>
                                </m:r>
                              </m:sub>
                              <m:sup>
                                <m:r>
                                  <m:rPr>
                                    <m:nor/>
                                    <m:sty m:val="p"/>
                                  </m:rPr>
                                  <m:t>indi,cerca</m:t>
                                </m:r>
                              </m:sup>
                            </m:sSubSup>
                            <m:r>
                              <m:rPr>
                                <m:sty m:val="p"/>
                              </m:rPr>
                              <m:t>−</m:t>
                            </m:r>
                            <m:sSubSup>
                              <m:e>
                                <m:acc>
                                  <m:accPr>
                                    <m:chr m:val="‾"/>
                                  </m:accPr>
                                  <m:e>
                                    <m:r>
                                      <m:t>Y</m:t>
                                    </m:r>
                                  </m:e>
                                </m:acc>
                              </m:e>
                              <m:sub>
                                <m:r>
                                  <m:t>2</m:t>
                                </m:r>
                              </m:sub>
                              <m:sup>
                                <m:r>
                                  <m:rPr>
                                    <m:nor/>
                                    <m:sty m:val="p"/>
                                  </m:rPr>
                                  <m:t>indi,cerca</m:t>
                                </m:r>
                              </m:sup>
                            </m:sSubSup>
                          </m:e>
                        </m:d>
                        <m:r>
                          <m:rPr>
                            <m:sty m:val="p"/>
                          </m:rPr>
                          <m:t>−</m:t>
                        </m:r>
                        <m:d>
                          <m:dPr>
                            <m:begChr m:val="("/>
                            <m:endChr m:val=")"/>
                            <m:sepChr m:val=""/>
                            <m:grow/>
                          </m:dPr>
                          <m:e>
                            <m:sSubSup>
                              <m:e>
                                <m:acc>
                                  <m:accPr>
                                    <m:chr m:val="‾"/>
                                  </m:accPr>
                                  <m:e>
                                    <m:r>
                                      <m:t>Y</m:t>
                                    </m:r>
                                  </m:e>
                                </m:acc>
                              </m:e>
                              <m:sub>
                                <m:r>
                                  <m:t>4</m:t>
                                </m:r>
                              </m:sub>
                              <m:sup>
                                <m:r>
                                  <m:rPr>
                                    <m:nor/>
                                    <m:sty m:val="p"/>
                                  </m:rPr>
                                  <m:t>noindi,cerca</m:t>
                                </m:r>
                              </m:sup>
                            </m:sSubSup>
                            <m:r>
                              <m:rPr>
                                <m:sty m:val="p"/>
                              </m:rPr>
                              <m:t>−</m:t>
                            </m:r>
                            <m:sSubSup>
                              <m:e>
                                <m:acc>
                                  <m:accPr>
                                    <m:chr m:val="‾"/>
                                  </m:accPr>
                                  <m:e>
                                    <m:r>
                                      <m:t>Y</m:t>
                                    </m:r>
                                  </m:e>
                                </m:acc>
                              </m:e>
                              <m:sub>
                                <m:r>
                                  <m:t>2</m:t>
                                </m:r>
                              </m:sub>
                              <m:sup>
                                <m:r>
                                  <m:rPr>
                                    <m:nor/>
                                    <m:sty m:val="p"/>
                                  </m:rPr>
                                  <m:t>noindi,cerca</m:t>
                                </m:r>
                              </m:sup>
                            </m:sSubSup>
                          </m:e>
                        </m:d>
                      </m:e>
                      <m:lim>
                        <m:r>
                          <m:rPr>
                            <m:sty m:val="p"/>
                          </m:rPr>
                          <m:t>⏟</m:t>
                        </m:r>
                      </m:lim>
                    </m:limLow>
                  </m:e>
                  <m:lim>
                    <m:r>
                      <m:rPr>
                        <m:nor/>
                        <m:sty m:val="p"/>
                      </m:rPr>
                      <m:t>DiD zona excepción</m:t>
                    </m:r>
                  </m:lim>
                </m:limLow>
              </m:e>
            </m:mr>
            <m:mr>
              <m:e/>
              <m:e>
                <m:r>
                  <m:rPr>
                    <m:sty m:val="p"/>
                  </m:rPr>
                  <m:t>−</m:t>
                </m:r>
                <m:limLow>
                  <m:e>
                    <m:limLow>
                      <m:e>
                        <m:d>
                          <m:dPr>
                            <m:begChr m:val="("/>
                            <m:endChr m:val=")"/>
                            <m:sepChr m:val=""/>
                            <m:grow/>
                          </m:dPr>
                          <m:e>
                            <m:sSubSup>
                              <m:e>
                                <m:acc>
                                  <m:accPr>
                                    <m:chr m:val="‾"/>
                                  </m:accPr>
                                  <m:e>
                                    <m:r>
                                      <m:t>Y</m:t>
                                    </m:r>
                                  </m:e>
                                </m:acc>
                              </m:e>
                              <m:sub>
                                <m:r>
                                  <m:t>4</m:t>
                                </m:r>
                              </m:sub>
                              <m:sup>
                                <m:r>
                                  <m:rPr>
                                    <m:nor/>
                                    <m:sty m:val="p"/>
                                  </m:rPr>
                                  <m:t>indi,lejos</m:t>
                                </m:r>
                              </m:sup>
                            </m:sSubSup>
                            <m:r>
                              <m:rPr>
                                <m:sty m:val="p"/>
                              </m:rPr>
                              <m:t>−</m:t>
                            </m:r>
                            <m:sSubSup>
                              <m:e>
                                <m:acc>
                                  <m:accPr>
                                    <m:chr m:val="‾"/>
                                  </m:accPr>
                                  <m:e>
                                    <m:r>
                                      <m:t>Y</m:t>
                                    </m:r>
                                  </m:e>
                                </m:acc>
                              </m:e>
                              <m:sub>
                                <m:r>
                                  <m:t>2</m:t>
                                </m:r>
                              </m:sub>
                              <m:sup>
                                <m:r>
                                  <m:rPr>
                                    <m:nor/>
                                    <m:sty m:val="p"/>
                                  </m:rPr>
                                  <m:t>indi,lejos</m:t>
                                </m:r>
                              </m:sup>
                            </m:sSubSup>
                          </m:e>
                        </m:d>
                        <m:r>
                          <m:rPr>
                            <m:sty m:val="p"/>
                          </m:rPr>
                          <m:t>−</m:t>
                        </m:r>
                        <m:d>
                          <m:dPr>
                            <m:begChr m:val="("/>
                            <m:endChr m:val=")"/>
                            <m:sepChr m:val=""/>
                            <m:grow/>
                          </m:dPr>
                          <m:e>
                            <m:sSubSup>
                              <m:e>
                                <m:acc>
                                  <m:accPr>
                                    <m:chr m:val="‾"/>
                                  </m:accPr>
                                  <m:e>
                                    <m:r>
                                      <m:t>Y</m:t>
                                    </m:r>
                                  </m:e>
                                </m:acc>
                              </m:e>
                              <m:sub>
                                <m:r>
                                  <m:t>4</m:t>
                                </m:r>
                              </m:sub>
                              <m:sup>
                                <m:r>
                                  <m:rPr>
                                    <m:nor/>
                                    <m:sty m:val="p"/>
                                  </m:rPr>
                                  <m:t>noindi,lejos</m:t>
                                </m:r>
                              </m:sup>
                            </m:sSubSup>
                            <m:r>
                              <m:rPr>
                                <m:sty m:val="p"/>
                              </m:rPr>
                              <m:t>−</m:t>
                            </m:r>
                            <m:sSubSup>
                              <m:e>
                                <m:acc>
                                  <m:accPr>
                                    <m:chr m:val="‾"/>
                                  </m:accPr>
                                  <m:e>
                                    <m:r>
                                      <m:t>Y</m:t>
                                    </m:r>
                                  </m:e>
                                </m:acc>
                              </m:e>
                              <m:sub>
                                <m:r>
                                  <m:t>2</m:t>
                                </m:r>
                              </m:sub>
                              <m:sup>
                                <m:r>
                                  <m:rPr>
                                    <m:nor/>
                                    <m:sty m:val="p"/>
                                  </m:rPr>
                                  <m:t>noindi,lejos</m:t>
                                </m:r>
                              </m:sup>
                            </m:sSubSup>
                          </m:e>
                        </m:d>
                      </m:e>
                      <m:lim>
                        <m:r>
                          <m:rPr>
                            <m:sty m:val="p"/>
                          </m:rPr>
                          <m:t>⏟</m:t>
                        </m:r>
                      </m:lim>
                    </m:limLow>
                  </m:e>
                  <m:lim>
                    <m:r>
                      <m:rPr>
                        <m:nor/>
                        <m:sty m:val="p"/>
                      </m:rPr>
                      <m:t>DiD zona control</m:t>
                    </m:r>
                  </m:lim>
                </m:limLow>
              </m:e>
            </m:mr>
          </m:m>
          <m:r>
            <m:t>  </m:t>
          </m:r>
          <m:d>
            <m:dPr>
              <m:begChr m:val="("/>
              <m:endChr m:val=")"/>
              <m:sepChr m:val=""/>
              <m:grow/>
            </m:dPr>
            <m:e>
              <m:r>
                <m:t>3</m:t>
              </m:r>
            </m:e>
          </m:d>
        </m:oMath>
      </m:oMathPara>
      <w:bookmarkEnd w:id="48"/>
    </w:p>
    <w:bookmarkEnd w:id="49"/>
    <w:bookmarkStart w:id="51" w:name="Xe93cfe849eb8f61db6f15915931fe95adc1dd98"/>
    <w:p>
      <w:pPr>
        <w:pStyle w:val="Heading2"/>
      </w:pPr>
      <w:r>
        <w:t xml:space="preserve">4.2 Coeficiente de correlación intraclase (ICC)</w:t>
      </w:r>
    </w:p>
    <w:p>
      <w:pPr>
        <w:pStyle w:val="FirstParagraph"/>
      </w:pPr>
      <w:r>
        <w:t xml:space="preserve">El ICC cuantifica la proporción de varianza atribuible a diferencias estables entre individuos (</w:t>
      </w:r>
      <w:hyperlink w:anchor="eq-icc">
        <w:r>
          <w:rPr>
            <w:rStyle w:val="Hyperlink"/>
          </w:rPr>
          <w:t xml:space="preserve">Ecuación 4</w:t>
        </w:r>
      </w:hyperlink>
      <w:r>
        <w:t xml:space="preserve">):</w:t>
      </w:r>
    </w:p>
    <w:p>
      <w:pPr>
        <w:pStyle w:val="BodyText"/>
      </w:pPr>
      <w:bookmarkStart w:id="50" w:name="eq-icc"/>
      <m:oMathPara>
        <m:oMathParaPr>
          <m:jc m:val="center"/>
        </m:oMathParaPr>
        <m:oMath>
          <m:r>
            <m:rPr>
              <m:nor/>
              <m:sty m:val="p"/>
            </m:rPr>
            <m:t>ICC</m:t>
          </m:r>
          <m:r>
            <m:rPr>
              <m:sty m:val="p"/>
            </m:rPr>
            <m:t>=</m:t>
          </m:r>
          <m:f>
            <m:fPr>
              <m:type m:val="bar"/>
            </m:fPr>
            <m:num>
              <m:sSubSup>
                <m:e>
                  <m:r>
                    <m:t>σ</m:t>
                  </m:r>
                </m:e>
                <m:sub>
                  <m:r>
                    <m:t>u</m:t>
                  </m:r>
                </m:sub>
                <m:sup>
                  <m:r>
                    <m:t>2</m:t>
                  </m:r>
                </m:sup>
              </m:sSubSup>
            </m:num>
            <m:den>
              <m:sSubSup>
                <m:e>
                  <m:r>
                    <m:t>σ</m:t>
                  </m:r>
                </m:e>
                <m:sub>
                  <m:r>
                    <m:t>u</m:t>
                  </m:r>
                </m:sub>
                <m:sup>
                  <m:r>
                    <m:t>2</m:t>
                  </m:r>
                </m:sup>
              </m:sSubSup>
              <m:r>
                <m:rPr>
                  <m:sty m:val="p"/>
                </m:rPr>
                <m:t>+</m:t>
              </m:r>
              <m:sSubSup>
                <m:e>
                  <m:r>
                    <m:t>σ</m:t>
                  </m:r>
                </m:e>
                <m:sub>
                  <m:r>
                    <m:t>ε</m:t>
                  </m:r>
                </m:sub>
                <m:sup>
                  <m:r>
                    <m:t>2</m:t>
                  </m:r>
                </m:sup>
              </m:sSubSup>
            </m:den>
          </m:f>
          <m:r>
            <m:t>  </m:t>
          </m:r>
          <m:d>
            <m:dPr>
              <m:begChr m:val="("/>
              <m:endChr m:val=")"/>
              <m:sepChr m:val=""/>
              <m:grow/>
            </m:dPr>
            <m:e>
              <m:r>
                <m:t>4</m:t>
              </m:r>
            </m:e>
          </m:d>
        </m:oMath>
      </m:oMathPara>
      <w:bookmarkEnd w:id="50"/>
    </w:p>
    <w:p>
      <w:pPr>
        <w:pStyle w:val="FirstParagraph"/>
      </w:pPr>
      <w:r>
        <w:t xml:space="preserve">Los ICC observados oscilan entre 0,12 y 0,20 según la variable dependiente, indicando que una proporción relevante de la varianza es</w:t>
      </w:r>
      <w:r>
        <w:t xml:space="preserve"> </w:t>
      </w:r>
      <w:r>
        <w:rPr>
          <w:i/>
          <w:iCs/>
        </w:rPr>
        <w:t xml:space="preserve">within-person</w:t>
      </w:r>
      <w:r>
        <w:t xml:space="preserve">, lo que justifica el diseño longitudinal.</w:t>
      </w:r>
    </w:p>
    <w:bookmarkEnd w:id="51"/>
    <w:bookmarkStart w:id="52" w:name="comparación-de-modelos"/>
    <w:p>
      <w:pPr>
        <w:pStyle w:val="Heading2"/>
      </w:pPr>
      <w:r>
        <w:t xml:space="preserve">4.3 Comparación de modelos</w:t>
      </w:r>
    </w:p>
    <w:p>
      <w:pPr>
        <w:pStyle w:val="FirstParagraph"/>
      </w:pPr>
      <w:r>
        <w:t xml:space="preserve">M1 vs. M2 se compara mediante likelihood ratio test (LRT) con 5 grados de libertad adicionales. En ambas variables dependientes, la especificación DiD mejora significativamente el ajuste (</w:t>
      </w:r>
      <m:oMath>
        <m:sSubSup>
          <m:e>
            <m:r>
              <m:t>χ</m:t>
            </m:r>
          </m:e>
          <m:sub>
            <m:d>
              <m:dPr>
                <m:begChr m:val="("/>
                <m:endChr m:val=")"/>
                <m:sepChr m:val=""/>
                <m:grow/>
              </m:dPr>
              <m:e>
                <m:r>
                  <m:t>5</m:t>
                </m:r>
              </m:e>
            </m:d>
          </m:sub>
          <m:sup>
            <m:r>
              <m:t>2</m:t>
            </m:r>
          </m:sup>
        </m:sSubSup>
        <m:r>
          <m:rPr>
            <m:sty m:val="p"/>
          </m:rPr>
          <m:t>&gt;</m:t>
        </m:r>
        <m:r>
          <m:t>24</m:t>
        </m:r>
      </m:oMath>
      <w:r>
        <w:t xml:space="preserve">,</w:t>
      </w:r>
      <w:r>
        <w:t xml:space="preserve"> </w:t>
      </w:r>
      <w:r>
        <w:rPr>
          <w:i/>
          <w:iCs/>
        </w:rPr>
        <w:t xml:space="preserve">p</w:t>
      </w:r>
      <w:r>
        <w:t xml:space="preserve"> </w:t>
      </w:r>
      <w:r>
        <w:t xml:space="preserve">&lt; .001).</w:t>
      </w:r>
    </w:p>
    <w:bookmarkEnd w:id="52"/>
    <w:bookmarkStart w:id="54" w:name="X35d86d5bb2ce870d5974972606ffd3931a0994e"/>
    <w:p>
      <w:pPr>
        <w:pStyle w:val="Heading2"/>
      </w:pPr>
      <w:r>
        <w:t xml:space="preserve">4.4 Análisis complementario: voto Rechazo (ola 4)</w:t>
      </w:r>
    </w:p>
    <w:p>
      <w:pPr>
        <w:pStyle w:val="FirstParagraph"/>
      </w:pPr>
      <w:r>
        <w:t xml:space="preserve">Como extensión electoral exploratoria, y sin estimar mediación causal formal, se examina si las actitudes hacia la violencia se asocian con el voto en el plebiscito de 2022. Para el plebiscito (ola 4) se estima (</w:t>
      </w:r>
      <w:hyperlink w:anchor="eq-logit">
        <w:r>
          <w:rPr>
            <w:rStyle w:val="Hyperlink"/>
          </w:rPr>
          <w:t xml:space="preserve">Ecuación 5</w:t>
        </w:r>
      </w:hyperlink>
      <w:r>
        <w:t xml:space="preserve">):</w:t>
      </w:r>
    </w:p>
    <w:p>
      <w:pPr>
        <w:pStyle w:val="BodyText"/>
      </w:pPr>
      <w:bookmarkStart w:id="53" w:name="eq-logit"/>
      <m:oMathPara>
        <m:oMathParaPr>
          <m:jc m:val="center"/>
        </m:oMathParaPr>
        <m:oMath>
          <m:m>
            <m:mPr>
              <m:baseJc m:val="center"/>
              <m:plcHide m:val="on"/>
              <m:mcs>
                <m:mc>
                  <m:mcPr>
                    <m:mcJc m:val="right"/>
                    <m:count m:val="1"/>
                  </m:mcPr>
                </m:mc>
                <m:mc>
                  <m:mcPr>
                    <m:mcJc m:val="left"/>
                    <m:count m:val="1"/>
                  </m:mcPr>
                </m:mc>
              </m:mcs>
            </m:mPr>
            <m:mr>
              <m:e>
                <m:r>
                  <m:rPr>
                    <m:sty m:val="p"/>
                  </m:rPr>
                  <m:t>log</m:t>
                </m:r>
                <m:f>
                  <m:fPr>
                    <m:type m:val="bar"/>
                  </m:fPr>
                  <m:num>
                    <m:r>
                      <m:t>P</m:t>
                    </m:r>
                    <m:d>
                      <m:dPr>
                        <m:begChr m:val="("/>
                        <m:endChr m:val=")"/>
                        <m:sepChr m:val=""/>
                        <m:grow/>
                      </m:dPr>
                      <m:e>
                        <m:sSub>
                          <m:e>
                            <m:r>
                              <m:rPr>
                                <m:nor/>
                                <m:sty m:val="p"/>
                              </m:rPr>
                              <m:t>Rechazo</m:t>
                            </m:r>
                          </m:e>
                          <m:sub>
                            <m:r>
                              <m:t>i</m:t>
                            </m:r>
                          </m:sub>
                        </m:sSub>
                      </m:e>
                    </m:d>
                  </m:num>
                  <m:den>
                    <m:r>
                      <m:t>1</m:t>
                    </m:r>
                    <m:r>
                      <m:rPr>
                        <m:sty m:val="p"/>
                      </m:rPr>
                      <m:t>−</m:t>
                    </m:r>
                    <m:r>
                      <m:t>P</m:t>
                    </m:r>
                    <m:d>
                      <m:dPr>
                        <m:begChr m:val="("/>
                        <m:endChr m:val=")"/>
                        <m:sepChr m:val=""/>
                        <m:grow/>
                      </m:dPr>
                      <m:e>
                        <m:sSub>
                          <m:e>
                            <m:r>
                              <m:rPr>
                                <m:nor/>
                                <m:sty m:val="p"/>
                              </m:rPr>
                              <m:t>Rechazo</m:t>
                            </m:r>
                          </m:e>
                          <m:sub>
                            <m:r>
                              <m:t>i</m:t>
                            </m:r>
                          </m:sub>
                        </m:sSub>
                      </m:e>
                    </m:d>
                  </m:den>
                </m:f>
                <m:r>
                  <m:rPr>
                    <m:sty m:val="p"/>
                  </m:rPr>
                  <m:t>=</m:t>
                </m:r>
                <m:r>
                  <m:t>α</m:t>
                </m:r>
              </m:e>
              <m:e>
                <m:r>
                  <m:rPr>
                    <m:sty m:val="p"/>
                  </m:rPr>
                  <m:t>+</m:t>
                </m:r>
                <m:sSub>
                  <m:e>
                    <m:r>
                      <m:t>β</m:t>
                    </m:r>
                  </m:e>
                  <m:sub>
                    <m:r>
                      <m:t>1</m:t>
                    </m:r>
                  </m:sub>
                </m:sSub>
                <m:sSubSup>
                  <m:e>
                    <m:acc>
                      <m:accPr>
                        <m:chr m:val="̂"/>
                      </m:accPr>
                      <m:e>
                        <m:r>
                          <m:t>Y</m:t>
                        </m:r>
                      </m:e>
                    </m:acc>
                  </m:e>
                  <m:sub>
                    <m:r>
                      <m:t>i</m:t>
                    </m:r>
                  </m:sub>
                  <m:sup>
                    <m:r>
                      <m:rPr>
                        <m:nor/>
                        <m:sty m:val="p"/>
                      </m:rPr>
                      <m:t>ctrl</m:t>
                    </m:r>
                  </m:sup>
                </m:sSubSup>
                <m:r>
                  <m:rPr>
                    <m:sty m:val="p"/>
                  </m:rPr>
                  <m:t>+</m:t>
                </m:r>
                <m:sSub>
                  <m:e>
                    <m:r>
                      <m:t>β</m:t>
                    </m:r>
                  </m:e>
                  <m:sub>
                    <m:r>
                      <m:t>2</m:t>
                    </m:r>
                  </m:sub>
                </m:sSub>
                <m:sSubSup>
                  <m:e>
                    <m:acc>
                      <m:accPr>
                        <m:chr m:val="̂"/>
                      </m:accPr>
                      <m:e>
                        <m:r>
                          <m:t>Y</m:t>
                        </m:r>
                      </m:e>
                    </m:acc>
                  </m:e>
                  <m:sub>
                    <m:r>
                      <m:t>i</m:t>
                    </m:r>
                  </m:sub>
                  <m:sup>
                    <m:r>
                      <m:rPr>
                        <m:nor/>
                        <m:sty m:val="p"/>
                      </m:rPr>
                      <m:t>resguardo</m:t>
                    </m:r>
                  </m:sup>
                </m:sSubSup>
              </m:e>
            </m:mr>
            <m:mr>
              <m:e/>
              <m:e>
                <m:r>
                  <m:rPr>
                    <m:sty m:val="p"/>
                  </m:rPr>
                  <m:t>+</m:t>
                </m:r>
                <m:sSub>
                  <m:e>
                    <m:r>
                      <m:t>β</m:t>
                    </m:r>
                  </m:e>
                  <m:sub>
                    <m:r>
                      <m:t>3</m:t>
                    </m:r>
                  </m:sub>
                </m:sSub>
                <m:sSub>
                  <m:e>
                    <m:r>
                      <m:rPr>
                        <m:nor/>
                        <m:sty m:val="p"/>
                      </m:rPr>
                      <m:t>Apoyo</m:t>
                    </m:r>
                  </m:e>
                  <m:sub>
                    <m:r>
                      <m:t>i</m:t>
                    </m:r>
                  </m:sub>
                </m:sSub>
                <m:r>
                  <m:rPr>
                    <m:sty m:val="p"/>
                  </m:rPr>
                  <m:t>+</m:t>
                </m:r>
                <m:sSub>
                  <m:e>
                    <m:r>
                      <m:rPr>
                        <m:sty m:val="b"/>
                      </m:rPr>
                      <m:t>Z</m:t>
                    </m:r>
                  </m:e>
                  <m:sub>
                    <m:r>
                      <m:t>i</m:t>
                    </m:r>
                  </m:sub>
                </m:sSub>
                <m:r>
                  <m:rPr>
                    <m:sty m:val="p"/>
                  </m:rPr>
                  <m:t>′</m:t>
                </m:r>
                <m:r>
                  <m:rPr>
                    <m:sty m:val="b"/>
                  </m:rPr>
                  <m:t>ϕ</m:t>
                </m:r>
              </m:e>
            </m:mr>
          </m:m>
          <m:r>
            <m:t>  </m:t>
          </m:r>
          <m:d>
            <m:dPr>
              <m:begChr m:val="("/>
              <m:endChr m:val=")"/>
              <m:sepChr m:val=""/>
              <m:grow/>
            </m:dPr>
            <m:e>
              <m:r>
                <m:t>5</m:t>
              </m:r>
            </m:e>
          </m:d>
        </m:oMath>
      </m:oMathPara>
      <w:bookmarkEnd w:id="53"/>
    </w:p>
    <w:p>
      <w:pPr>
        <w:pStyle w:val="FirstParagraph"/>
      </w:pPr>
      <w:r>
        <w:t xml:space="preserve">Se estiman tres versiones: (a) participación electoral, (b) Rechazo vs. resto entre votantes, y (c) Rechazo vs. Apruebo estricto (excluye nulos/blancos).</w:t>
      </w:r>
    </w:p>
    <w:bookmarkEnd w:id="54"/>
    <w:bookmarkStart w:id="57" w:name="sec-mecanismo-eq"/>
    <w:p>
      <w:pPr>
        <w:pStyle w:val="Heading2"/>
      </w:pPr>
      <w:r>
        <w:t xml:space="preserve">4.5 Análisis de mecanismo (justicia procedimental)</w:t>
      </w:r>
    </w:p>
    <w:p>
      <w:pPr>
        <w:pStyle w:val="FirstParagraph"/>
      </w:pPr>
      <w:r>
        <w:rPr>
          <w:b/>
          <w:bCs/>
        </w:rPr>
        <w:t xml:space="preserve">Paso 1</w:t>
      </w:r>
      <w:r>
        <w:t xml:space="preserve"> </w:t>
      </w:r>
      <w:r>
        <w:t xml:space="preserve">— efecto del tratamiento sobre el mediador:</w:t>
      </w:r>
    </w:p>
    <w:p>
      <w:pPr>
        <w:pStyle w:val="BodyText"/>
      </w:pPr>
      <w:bookmarkStart w:id="55" w:name="eq-mediacion-1"/>
      <m:oMathPara>
        <m:oMathParaPr>
          <m:jc m:val="center"/>
        </m:oMathParaPr>
        <m:oMath>
          <m:m>
            <m:mPr>
              <m:baseJc m:val="center"/>
              <m:plcHide m:val="on"/>
              <m:mcs>
                <m:mc>
                  <m:mcPr>
                    <m:mcJc m:val="right"/>
                    <m:count m:val="1"/>
                  </m:mcPr>
                </m:mc>
                <m:mc>
                  <m:mcPr>
                    <m:mcJc m:val="left"/>
                    <m:count m:val="1"/>
                  </m:mcPr>
                </m:mc>
              </m:mcs>
            </m:mPr>
            <m:mr>
              <m:e>
                <m:sSub>
                  <m:e>
                    <m:r>
                      <m:t>J</m:t>
                    </m:r>
                  </m:e>
                  <m:sub>
                    <m:r>
                      <m:t>i</m:t>
                    </m:r>
                    <m:r>
                      <m:t>t</m:t>
                    </m:r>
                  </m:sub>
                </m:sSub>
                <m:r>
                  <m:rPr>
                    <m:sty m:val="p"/>
                  </m:rPr>
                  <m:t>=</m:t>
                </m:r>
                <m:sSub>
                  <m:e>
                    <m:r>
                      <m:t>α</m:t>
                    </m:r>
                  </m:e>
                  <m:sub>
                    <m:r>
                      <m:t>0</m:t>
                    </m:r>
                  </m:sub>
                </m:sSub>
              </m:e>
              <m:e>
                <m:r>
                  <m:rPr>
                    <m:sty m:val="p"/>
                  </m:rPr>
                  <m:t>+</m:t>
                </m:r>
                <m:nary>
                  <m:naryPr>
                    <m:chr m:val="∑"/>
                    <m:limLoc m:val="undOvr"/>
                    <m:subHide m:val="off"/>
                    <m:supHide m:val="on"/>
                  </m:naryPr>
                  <m:sub>
                    <m:r>
                      <m:t>t</m:t>
                    </m:r>
                  </m:sub>
                  <m:sup>
                    <m:r>
                      <m:t>​</m:t>
                    </m:r>
                  </m:sup>
                  <m:e>
                    <m:sSub>
                      <m:e>
                        <m:r>
                          <m:t>β</m:t>
                        </m:r>
                      </m:e>
                      <m:sub>
                        <m:r>
                          <m:t>t</m:t>
                        </m:r>
                      </m:sub>
                    </m:sSub>
                  </m:e>
                </m:nary>
                <m:sSub>
                  <m:e>
                    <m:r>
                      <m:rPr>
                        <m:nor/>
                        <m:sty m:val="p"/>
                      </m:rPr>
                      <m:t>Ola</m:t>
                    </m:r>
                  </m:e>
                  <m:sub>
                    <m:r>
                      <m:t>t</m:t>
                    </m:r>
                  </m:sub>
                </m:sSub>
                <m:r>
                  <m:rPr>
                    <m:sty m:val="p"/>
                  </m:rPr>
                  <m:t>+</m:t>
                </m:r>
                <m:r>
                  <m:rPr>
                    <m:sty m:val="p"/>
                  </m:rPr>
                  <m:t>⋯</m:t>
                </m:r>
                <m:r>
                  <m:rPr>
                    <m:sty m:val="p"/>
                  </m:rPr>
                  <m:t>+</m:t>
                </m:r>
                <m:sSub>
                  <m:e>
                    <m:r>
                      <m:t>τ</m:t>
                    </m:r>
                  </m:e>
                  <m:sub>
                    <m:r>
                      <m:t>t</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6</m:t>
              </m:r>
            </m:e>
          </m:d>
        </m:oMath>
      </m:oMathPara>
      <w:bookmarkEnd w:id="55"/>
    </w:p>
    <w:p>
      <w:pPr>
        <w:pStyle w:val="FirstParagraph"/>
      </w:pPr>
      <w:r>
        <w:rPr>
          <w:b/>
          <w:bCs/>
        </w:rPr>
        <w:t xml:space="preserve">Paso 2</w:t>
      </w:r>
      <w:r>
        <w:t xml:space="preserve"> </w:t>
      </w:r>
      <w:r>
        <w:t xml:space="preserve">— efecto del mediador rezagado sobre la VD:</w:t>
      </w:r>
    </w:p>
    <w:p>
      <w:pPr>
        <w:pStyle w:val="BodyText"/>
      </w:pPr>
      <w:bookmarkStart w:id="56" w:name="eq-mediacion-2"/>
      <m:oMathPara>
        <m:oMathParaPr>
          <m:jc m:val="center"/>
        </m:oMathParaPr>
        <m:oMath>
          <m:m>
            <m:mPr>
              <m:baseJc m:val="center"/>
              <m:plcHide m:val="on"/>
              <m:mcs>
                <m:mc>
                  <m:mcPr>
                    <m:mcJc m:val="right"/>
                    <m:count m:val="1"/>
                  </m:mcPr>
                </m:mc>
                <m:mc>
                  <m:mcPr>
                    <m:mcJc m:val="left"/>
                    <m:count m:val="1"/>
                  </m:mcPr>
                </m:mc>
              </m:mcs>
            </m:mPr>
            <m:mr>
              <m:e>
                <m:sSub>
                  <m:e>
                    <m:r>
                      <m:t>Y</m:t>
                    </m:r>
                  </m:e>
                  <m:sub>
                    <m:r>
                      <m:t>i</m:t>
                    </m:r>
                    <m:r>
                      <m:t>t</m:t>
                    </m:r>
                  </m:sub>
                </m:sSub>
                <m:r>
                  <m:rPr>
                    <m:sty m:val="p"/>
                  </m:rPr>
                  <m:t>=</m:t>
                </m:r>
                <m:sSub>
                  <m:e>
                    <m:r>
                      <m:t>α</m:t>
                    </m:r>
                  </m:e>
                  <m:sub>
                    <m:r>
                      <m:t>0</m:t>
                    </m:r>
                  </m:sub>
                </m:sSub>
              </m:e>
              <m:e>
                <m:r>
                  <m:rPr>
                    <m:sty m:val="p"/>
                  </m:rPr>
                  <m:t>+</m:t>
                </m:r>
                <m:r>
                  <m:t>δ</m:t>
                </m:r>
                <m:sSub>
                  <m:e>
                    <m:r>
                      <m:t>J</m:t>
                    </m:r>
                  </m:e>
                  <m:sub>
                    <m:r>
                      <m:t>i</m:t>
                    </m:r>
                    <m:r>
                      <m:rPr>
                        <m:sty m:val="p"/>
                      </m:rPr>
                      <m:t>,</m:t>
                    </m:r>
                    <m:r>
                      <m:t>t</m:t>
                    </m:r>
                    <m:r>
                      <m:rPr>
                        <m:sty m:val="p"/>
                      </m:rPr>
                      <m:t>−</m:t>
                    </m:r>
                    <m:r>
                      <m:t>1</m:t>
                    </m:r>
                  </m:sub>
                </m:sSub>
                <m:r>
                  <m:rPr>
                    <m:sty m:val="p"/>
                  </m:rPr>
                  <m:t>+</m:t>
                </m:r>
                <m:nary>
                  <m:naryPr>
                    <m:chr m:val="∑"/>
                    <m:limLoc m:val="undOvr"/>
                    <m:subHide m:val="off"/>
                    <m:supHide m:val="on"/>
                  </m:naryPr>
                  <m:sub>
                    <m:r>
                      <m:t>t</m:t>
                    </m:r>
                  </m:sub>
                  <m:sup>
                    <m:r>
                      <m:t>​</m:t>
                    </m:r>
                  </m:sup>
                  <m:e>
                    <m:sSub>
                      <m:e>
                        <m:r>
                          <m:t>β</m:t>
                        </m:r>
                      </m:e>
                      <m:sub>
                        <m:r>
                          <m:t>t</m:t>
                        </m:r>
                      </m:sub>
                    </m:sSub>
                  </m:e>
                </m:nary>
                <m:sSub>
                  <m:e>
                    <m:r>
                      <m:rPr>
                        <m:nor/>
                        <m:sty m:val="p"/>
                      </m:rPr>
                      <m:t>Ola</m:t>
                    </m:r>
                  </m:e>
                  <m:sub>
                    <m:r>
                      <m:t>t</m:t>
                    </m:r>
                  </m:sub>
                </m:sSub>
                <m:r>
                  <m:rPr>
                    <m:sty m:val="p"/>
                  </m:rPr>
                  <m:t>+</m:t>
                </m:r>
                <m:r>
                  <m:rPr>
                    <m:sty m:val="p"/>
                  </m:rPr>
                  <m:t>⋯</m:t>
                </m:r>
                <m:r>
                  <m:rPr>
                    <m:sty m:val="p"/>
                  </m:rPr>
                  <m:t>+</m:t>
                </m:r>
                <m:sSub>
                  <m:e>
                    <m:r>
                      <m:t>τ</m:t>
                    </m:r>
                  </m:e>
                  <m:sub>
                    <m:r>
                      <m:t>t</m:t>
                    </m:r>
                  </m:sub>
                </m:sSub>
                <m:d>
                  <m:dPr>
                    <m:begChr m:val="("/>
                    <m:endChr m:val=")"/>
                    <m:sepChr m:val=""/>
                    <m:grow/>
                  </m:dPr>
                  <m:e>
                    <m:sSub>
                      <m:e>
                        <m:r>
                          <m:rPr>
                            <m:nor/>
                            <m:sty m:val="p"/>
                          </m:rPr>
                          <m:t>Ola</m:t>
                        </m:r>
                      </m:e>
                      <m:sub>
                        <m:r>
                          <m:t>t</m:t>
                        </m:r>
                      </m:sub>
                    </m:sSub>
                    <m:r>
                      <m:rPr>
                        <m:sty m:val="p"/>
                      </m:rPr>
                      <m:t>×</m:t>
                    </m:r>
                    <m:sSub>
                      <m:e>
                        <m:r>
                          <m:rPr>
                            <m:nor/>
                            <m:sty m:val="p"/>
                          </m:rPr>
                          <m:t>Indi</m:t>
                        </m:r>
                      </m:e>
                      <m:sub>
                        <m:r>
                          <m:t>i</m:t>
                        </m:r>
                      </m:sub>
                    </m:sSub>
                    <m:r>
                      <m:rPr>
                        <m:sty m:val="p"/>
                      </m:rPr>
                      <m:t>×</m:t>
                    </m:r>
                    <m:sSub>
                      <m:e>
                        <m:r>
                          <m:rPr>
                            <m:nor/>
                            <m:sty m:val="p"/>
                          </m:rPr>
                          <m:t>Zona</m:t>
                        </m:r>
                      </m:e>
                      <m:sub>
                        <m:r>
                          <m:t>i</m:t>
                        </m:r>
                      </m:sub>
                    </m:sSub>
                  </m:e>
                </m:d>
              </m:e>
            </m:mr>
            <m:mr>
              <m:e/>
              <m:e>
                <m:r>
                  <m:rPr>
                    <m:sty m:val="p"/>
                  </m:rPr>
                  <m:t>+</m:t>
                </m:r>
                <m:sSub>
                  <m:e>
                    <m:r>
                      <m:rPr>
                        <m:sty m:val="b"/>
                      </m:rPr>
                      <m:t>X</m:t>
                    </m:r>
                  </m:e>
                  <m:sub>
                    <m:r>
                      <m:t>i</m:t>
                    </m:r>
                    <m:r>
                      <m:t>t</m:t>
                    </m:r>
                  </m:sub>
                </m:sSub>
                <m:r>
                  <m:rPr>
                    <m:sty m:val="p"/>
                  </m:rPr>
                  <m:t>′</m:t>
                </m:r>
                <m:r>
                  <m:rPr>
                    <m:sty m:val="b"/>
                  </m:rPr>
                  <m:t>γ</m:t>
                </m:r>
                <m:r>
                  <m:rPr>
                    <m:sty m:val="p"/>
                  </m:rPr>
                  <m:t>+</m:t>
                </m:r>
                <m:sSub>
                  <m:e>
                    <m:r>
                      <m:t>u</m:t>
                    </m:r>
                  </m:e>
                  <m:sub>
                    <m:r>
                      <m:t>i</m:t>
                    </m:r>
                  </m:sub>
                </m:sSub>
                <m:r>
                  <m:rPr>
                    <m:sty m:val="p"/>
                  </m:rPr>
                  <m:t>+</m:t>
                </m:r>
                <m:sSub>
                  <m:e>
                    <m:r>
                      <m:t>ε</m:t>
                    </m:r>
                  </m:e>
                  <m:sub>
                    <m:r>
                      <m:t>i</m:t>
                    </m:r>
                    <m:r>
                      <m:t>t</m:t>
                    </m:r>
                  </m:sub>
                </m:sSub>
              </m:e>
            </m:mr>
          </m:m>
          <m:r>
            <m:t>  </m:t>
          </m:r>
          <m:d>
            <m:dPr>
              <m:begChr m:val="("/>
              <m:endChr m:val=")"/>
              <m:sepChr m:val=""/>
              <m:grow/>
            </m:dPr>
            <m:e>
              <m:r>
                <m:t>7</m:t>
              </m:r>
            </m:e>
          </m:d>
        </m:oMath>
      </m:oMathPara>
      <w:bookmarkEnd w:id="56"/>
    </w:p>
    <w:p>
      <w:pPr>
        <w:pStyle w:val="FirstParagraph"/>
      </w:pPr>
      <w:r>
        <w:rPr>
          <w:b/>
          <w:bCs/>
        </w:rPr>
        <w:t xml:space="preserve">Paso 3</w:t>
      </w:r>
      <w:r>
        <w:t xml:space="preserve"> </w:t>
      </w:r>
      <w:r>
        <w:t xml:space="preserve">— si</w:t>
      </w:r>
      <w:r>
        <w:t xml:space="preserve"> </w:t>
      </w:r>
      <m:oMath>
        <m:sSub>
          <m:e>
            <m:acc>
              <m:accPr>
                <m:chr m:val="̂"/>
              </m:accPr>
              <m:e>
                <m:r>
                  <m:t>τ</m:t>
                </m:r>
              </m:e>
            </m:acc>
          </m:e>
          <m:sub>
            <m:r>
              <m:t>4</m:t>
            </m:r>
          </m:sub>
        </m:sSub>
      </m:oMath>
      <w:r>
        <w:t xml:space="preserve"> </w:t>
      </w:r>
      <w:r>
        <w:t xml:space="preserve">se atenúa al incluir</w:t>
      </w:r>
      <w:r>
        <w:t xml:space="preserve"> </w:t>
      </w:r>
      <m:oMath>
        <m:sSub>
          <m:e>
            <m:r>
              <m:t>J</m:t>
            </m:r>
          </m:e>
          <m:sub>
            <m:r>
              <m:t>i</m:t>
            </m:r>
            <m:r>
              <m:rPr>
                <m:sty m:val="p"/>
              </m:rPr>
              <m:t>,</m:t>
            </m:r>
            <m:r>
              <m:t>t</m:t>
            </m:r>
            <m:r>
              <m:rPr>
                <m:sty m:val="p"/>
              </m:rPr>
              <m:t>−</m:t>
            </m:r>
            <m:r>
              <m:t>1</m:t>
            </m:r>
          </m:sub>
        </m:sSub>
      </m:oMath>
      <w:r>
        <w:t xml:space="preserve"> </w:t>
      </w:r>
      <w:r>
        <w:t xml:space="preserve">pero permanece significativo, hay evidencia de mediación parcial exploratoria.</w:t>
      </w:r>
    </w:p>
    <w:bookmarkEnd w:id="57"/>
    <w:bookmarkEnd w:id="58"/>
    <w:bookmarkStart w:id="101" w:name="sec-resultados"/>
    <w:p>
      <w:pPr>
        <w:pStyle w:val="Heading1"/>
      </w:pPr>
      <w:r>
        <w:t xml:space="preserve">5. Resultados</w:t>
      </w:r>
    </w:p>
    <w:bookmarkStart w:id="61" w:name="sec-res-desc"/>
    <w:p>
      <w:pPr>
        <w:pStyle w:val="Heading2"/>
      </w:pPr>
      <w:r>
        <w:t xml:space="preserve">5.1 Estadísticos descriptivos</w:t>
      </w:r>
    </w:p>
    <w:p>
      <w:pPr>
        <w:pStyle w:val="FirstParagraph"/>
      </w:pPr>
      <w:hyperlink w:anchor="tbl-socdem">
        <w:r>
          <w:rPr>
            <w:rStyle w:val="Hyperlink"/>
          </w:rPr>
          <w:t xml:space="preserve">Tabla 3</w:t>
        </w:r>
      </w:hyperlink>
      <w:r>
        <w:t xml:space="preserve"> </w:t>
      </w:r>
      <w:r>
        <w:t xml:space="preserve">presenta las características sociodemográficas en la ola 2 (baseline).</w:t>
      </w:r>
      <w:r>
        <w:t xml:space="preserve"> </w:t>
      </w:r>
      <w:hyperlink w:anchor="tbl-descriptivos">
        <w:r>
          <w:rPr>
            <w:rStyle w:val="Hyperlink"/>
          </w:rPr>
          <w:t xml:space="preserve">Tabla 4</w:t>
        </w:r>
      </w:hyperlink>
      <w:r>
        <w:t xml:space="preserve"> </w:t>
      </w:r>
      <w:r>
        <w:t xml:space="preserve">resume la distribución de variables dependientes e independientes clave por período e identidad étnica.</w:t>
      </w:r>
    </w:p>
    <w:tbl>
      <w:tblPr>
        <w:tblStyle w:val="Table"/>
        <w:tblW w:type="pct" w:w="5000"/>
        <w:tblLayout w:type="fixed"/>
        <w:tblLook w:firstRow="0" w:lastRow="0" w:firstColumn="0" w:lastColumn="0" w:noHBand="0" w:noVBand="0" w:val="0000"/>
      </w:tblPr>
      <w:tblGrid>
        <w:gridCol w:w="7920"/>
      </w:tblGrid>
      <w:tr>
        <w:tc>
          <w:tcPr/>
          <w:bookmarkStart w:id="59" w:name="tbl-socdem"/>
          <w:p>
            <w:pPr>
              <w:jc w:val="center"/>
            </w:pPr>
            <w:pPr>
              <w:jc w:val="start"/>
              <w:spacing w:before="200"/>
              <w:pStyle w:val="ImageCaption"/>
            </w:pPr>
            <w:r>
              <w:t xml:space="preserve">Tabla 3: Características sociodemográficas por grupo identitario (ola 2, baseline)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73"/>
              <w:gridCol w:w="1609"/>
              <w:gridCol w:w="1426"/>
              <w:gridCol w:w="1426"/>
              <w:gridCol w:w="1181"/>
            </w:tblGrid>
            <w:tr>
              <w:trPr>
                <w:trHeight w:val="442" w:hRule="auto"/>
                <w:tblHeader/>
              </w:trPr>
              header 1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Identidad étnica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r>
            <w:tr>
              <w:trPr>
                <w:trHeight w:val="597" w:hRule="auto"/>
                <w:tblHeader/>
              </w:trPr>
              header 2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1,580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no_indi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735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indi</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 845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2</w:t>
                  </w:r>
                </w:p>
              </w:tc>
            </w:tr>
            <w:tr>
              <w:trPr>
                <w:trHeight w:val="476"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Sexo (mujer)</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hombre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467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1,113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514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599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Grupo etario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18_24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60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93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99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153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168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323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Zona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1,219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580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639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Zona de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w:t>
                  </w:r>
                </w:p>
              </w:tc>
            </w:tr>
            <w:tr>
              <w:trPr>
                <w:trHeight w:val="472"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lejos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1,224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568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656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Identificación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 (0.9%)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109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67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478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927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 pueblo originario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232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78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270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406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146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8"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&lt;0.001</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200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317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662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252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410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242 (15%)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68 (9.4%)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174 (21%)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360" w:hRule="auto"/>
              </w:trPr>
              footer 1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w:t>
                  </w:r>
                </w:p>
              </w:tc>
            </w:tr>
            <w:tr>
              <w:trPr>
                <w:trHeight w:val="360" w:hRule="auto"/>
              </w:trPr>
              footer 2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vertAlign w:val="super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Pearson's Chi-squared test</w:t>
                  </w:r>
                </w:p>
              </w:tc>
            </w:tr>
          </w:tbl>
          <w:bookmarkEnd w:id="59"/>
        </w:tc>
      </w:tr>
    </w:tbl>
    <w:tbl>
      <w:tblPr>
        <w:tblStyle w:val="Table"/>
        <w:tblW w:type="pct" w:w="5000"/>
        <w:tblLayout w:type="fixed"/>
        <w:tblLook w:firstRow="0" w:lastRow="0" w:firstColumn="0" w:lastColumn="0" w:noHBand="0" w:noVBand="0" w:val="0000"/>
      </w:tblPr>
      <w:tblGrid>
        <w:gridCol w:w="7920"/>
      </w:tblGrid>
      <w:tr>
        <w:tc>
          <w:tcPr/>
          <w:bookmarkStart w:id="60" w:name="tbl-descriptivos"/>
          <w:p>
            <w:pPr>
              <w:jc w:val="center"/>
            </w:pPr>
            <w:pPr>
              <w:jc w:val="start"/>
              <w:spacing w:before="200"/>
              <w:pStyle w:val="ImageCaption"/>
            </w:pPr>
            <w:r>
              <w:t xml:space="preserve">Tabla 4: Estadísticos descriptivos de variables principales por período e identidad étnica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4"/>
              <w:gridCol w:w="1275"/>
              <w:gridCol w:w="2705"/>
              <w:gridCol w:w="654"/>
              <w:gridCol w:w="654"/>
            </w:tblGrid>
            <w:tr>
              <w:trPr>
                <w:trHeight w:val="4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indigeneous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w:t>
                  </w:r>
                </w:p>
              </w:tc>
            </w:tr>
            <w:tr>
              <w:trPr>
                <w:trHeight w:val="47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1.26</w:t>
                  </w:r>
                </w:p>
              </w:tc>
            </w:tr>
            <w:tr>
              <w:trPr>
                <w:trHeight w:val="45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w:t>
                  </w:r>
                </w:p>
              </w:tc>
            </w:tr>
            <w:tr>
              <w:trPr>
                <w:trHeight w:val="4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1.27</w:t>
                  </w:r>
                </w:p>
              </w:tc>
            </w:tr>
            <w:tr>
              <w:trPr>
                <w:trHeight w:val="45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w:t>
                  </w:r>
                </w:p>
              </w:tc>
            </w:tr>
            <w:tr>
              <w:trPr>
                <w:trHeight w:val="476"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w:t>
                  </w:r>
                </w:p>
              </w:tc>
            </w:tr>
            <w:tr>
              <w:trPr>
                <w:trHeight w:val="4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w:t>
                  </w:r>
                </w:p>
              </w:tc>
            </w:tr>
            <w:tr>
              <w:trPr>
                <w:trHeight w:val="44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w:t>
                  </w:r>
                </w:p>
              </w:tc>
            </w:tr>
            <w:tr>
              <w:trPr>
                <w:trHeight w:val="4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0.73</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w:t>
                  </w:r>
                </w:p>
              </w:tc>
            </w:tr>
            <w:tr>
              <w:trPr>
                <w:trHeight w:val="44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r>
            <w:tr>
              <w:trPr>
                <w:trHeight w:val="47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w:t>
                  </w:r>
                </w:p>
              </w:tc>
            </w:tr>
            <w:tr>
              <w:trPr>
                <w:trHeight w:val="47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1.32</w:t>
                  </w:r>
                </w:p>
              </w:tc>
            </w:tr>
            <w:tr>
              <w:trPr>
                <w:trHeight w:val="45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w:t>
                  </w:r>
                </w:p>
              </w:tc>
            </w:tr>
            <w:tr>
              <w:trPr>
                <w:trHeight w:val="4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r>
              <w:trPr>
                <w:trHeight w:val="476"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r>
            <w:tr>
              <w:trPr>
                <w:trHeight w:val="47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1.32</w:t>
                  </w:r>
                </w:p>
              </w:tc>
            </w:tr>
            <w:tr>
              <w:trPr>
                <w:trHeight w:val="44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w:t>
                  </w:r>
                </w:p>
              </w:tc>
            </w:tr>
            <w:tr>
              <w:trPr>
                <w:trHeight w:val="4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w:t>
                  </w:r>
                </w:p>
              </w:tc>
            </w:tr>
            <w:tr>
              <w:trPr>
                <w:trHeight w:val="44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0.91</w:t>
                  </w:r>
                </w:p>
              </w:tc>
            </w:tr>
            <w:tr>
              <w:trPr>
                <w:trHeight w:val="47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w:t>
                  </w:r>
                </w:p>
              </w:tc>
            </w:tr>
            <w:tr>
              <w:trPr>
                <w:trHeight w:val="456"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w:t>
                  </w:r>
                </w:p>
              </w:tc>
            </w:tr>
            <w:tr>
              <w:trPr>
                <w:trHeight w:val="47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0.77</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5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w:t>
                  </w:r>
                </w:p>
              </w:tc>
            </w:tr>
            <w:tr>
              <w:trPr>
                <w:trHeight w:val="47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no_indi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7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1.47</w:t>
                  </w:r>
                </w:p>
              </w:tc>
            </w:tr>
            <w:tr>
              <w:trPr>
                <w:trHeight w:val="44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w:t>
                  </w:r>
                </w:p>
              </w:tc>
            </w:tr>
            <w:tr>
              <w:trPr>
                <w:trHeight w:val="473"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w:t>
                  </w:r>
                </w:p>
              </w:tc>
            </w:tr>
            <w:tr>
              <w:trPr>
                <w:trHeight w:val="47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1.27</w:t>
                  </w:r>
                </w:p>
              </w:tc>
            </w:tr>
            <w:tr>
              <w:trPr>
                <w:trHeight w:val="44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0.86</w:t>
                  </w:r>
                </w:p>
              </w:tc>
            </w:tr>
            <w:tr>
              <w:trPr>
                <w:trHeight w:val="476" w:hRule="auto"/>
              </w:trPr>
              body36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decreto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r>
          </w:tbl>
          <w:bookmarkEnd w:id="60"/>
        </w:tc>
      </w:tr>
    </w:tbl>
    <w:p>
      <w:pPr>
        <w:pStyle w:val="BodyText"/>
      </w:pPr>
      <w:r>
        <w:rPr>
          <w:i/>
          <w:iCs/>
        </w:rPr>
        <w:t xml:space="preserve">Nota.</w:t>
      </w:r>
      <w:r>
        <w:t xml:space="preserve"> </w:t>
      </w:r>
      <w:r>
        <w:t xml:space="preserve">La justificación de represión estatal (d3_1) fue medida como ítem único; el segundo ítem del módulo (uso de armas por agricultores, d3_2) se excluyó por razones conceptuales (véase</w:t>
      </w:r>
      <w:r>
        <w:t xml:space="preserve"> </w:t>
      </w:r>
      <w:hyperlink w:anchor="sec-variables">
        <w:r>
          <w:rPr>
            <w:rStyle w:val="Hyperlink"/>
          </w:rPr>
          <w:t xml:space="preserve">Sección 3.3</w:t>
        </w:r>
      </w:hyperlink>
      <w:r>
        <w:t xml:space="preserve">).</w:t>
      </w:r>
    </w:p>
    <w:p>
      <w:pPr>
        <w:pStyle w:val="BodyText"/>
      </w:pPr>
      <w:r>
        <w:t xml:space="preserve">En baseline (ola 2), la estructura ingroup/outgroup de justicia procedimental muestra el patrón esperado teóricamente: los indígenas perciben mejor trato al outgroup que al ingroup (brecha = 0,40), indicando agravio percibido, mientras que los no indígenas perciben mejor trato a su propio grupo (brecha = -0,32), indicando privilegio percibido. La estructura identitaria revela un hallazgo inesperado: los indígenas de la muestra presentan identidad dual con leve predominancia de identidad nacional sobre étnica (brecha identitaria = -0,34), lo que es consistente con la presión asimilacionista histórica documentada por</w:t>
      </w:r>
      <w:r>
        <w:t xml:space="preserve"> </w:t>
      </w:r>
      <w:r>
        <w:t xml:space="preserve">Bengoa (2002)</w:t>
      </w:r>
      <w:r>
        <w:t xml:space="preserve"> </w:t>
      </w:r>
      <w:r>
        <w:t xml:space="preserve">y contradice la asunción de identidades étnicas excluyentes.</w:t>
      </w:r>
    </w:p>
    <w:bookmarkEnd w:id="61"/>
    <w:bookmarkStart w:id="66" w:name="sec-res-tray"/>
    <w:p>
      <w:pPr>
        <w:pStyle w:val="Heading2"/>
      </w:pPr>
      <w:r>
        <w:t xml:space="preserve">5.2 Trayectorias descriptivas y divergencia temporal</w:t>
      </w:r>
    </w:p>
    <w:p>
      <w:pPr>
        <w:pStyle w:val="FirstParagraph"/>
      </w:pPr>
      <w:hyperlink w:anchor="fig-trayectorias">
        <w:r>
          <w:rPr>
            <w:rStyle w:val="Hyperlink"/>
          </w:rPr>
          <w:t xml:space="preserve">Figura 1</w:t>
        </w:r>
      </w:hyperlink>
      <w:r>
        <w:t xml:space="preserve"> </w:t>
      </w:r>
      <w:r>
        <w:t xml:space="preserve">muestra las trayectorias de las dos variables dependientes por grupo. La justificación de la violencia de cambio social sube entre la ola 2 y la ola 3 para toda la muestra, compatible con la apertura normativa del estallido (H2), y baja en la ola 4, compatible con el agotamiento del ciclo y la derrota del Apruebo. Sin embargo, esta contención no es homogénea: entre indígenas en zona de excepción, la caída en ola 4 es menor o inexistente, anticipando el hallazgo central de los modelos DiD.</w:t>
      </w:r>
    </w:p>
    <w:p>
      <w:pPr>
        <w:pStyle w:val="BodyText"/>
      </w:pPr>
      <w:r>
        <w:t xml:space="preserve">La justificación de violencia de control social muestra un patrón inverso: relativamente estable entre olas 2 y 3, sube en la ola 4, especialmente entre indígenas en zona de excepción. En el baseline (ola 2), la zona de excepción exhibe menor justificación de violencia de cambio social (β = -0,357,</w:t>
      </w:r>
      <w:r>
        <w:t xml:space="preserve"> </w:t>
      </w:r>
      <w:r>
        <w:rPr>
          <w:i/>
          <w:iCs/>
        </w:rPr>
        <w:t xml:space="preserve">p</w:t>
      </w:r>
      <w:r>
        <w:t xml:space="preserve"> </w:t>
      </w:r>
      <w:r>
        <w:t xml:space="preserve">= ,080) que fuera de ella — patrón que, al ir en dirección opuesta a los efectos post-tratamiento, es consistente con la plausibilidad del supuesto de tendencias paralelas.</w:t>
      </w:r>
    </w:p>
    <w:tbl>
      <w:tblPr>
        <w:tblStyle w:val="Table"/>
        <w:tblW w:type="pct" w:w="5000"/>
        <w:tblLayout w:type="fixed"/>
        <w:tblLook w:firstRow="0" w:lastRow="0" w:firstColumn="0" w:lastColumn="0" w:noHBand="0" w:noVBand="0" w:val="0000"/>
      </w:tblPr>
      <w:tblGrid>
        <w:gridCol w:w="7920"/>
      </w:tblGrid>
      <w:tr>
        <w:tc>
          <w:tcPr/>
          <w:bookmarkStart w:id="65" w:name="fig-trayectorias"/>
          <w:p>
            <w:pPr>
              <w:pStyle w:val="Compact"/>
              <w:jc w:val="center"/>
            </w:pPr>
            <w:r>
              <w:drawing>
                <wp:inline>
                  <wp:extent cx="5334000" cy="2424545"/>
                  <wp:effectExtent b="0" l="0" r="0" t="0"/>
                  <wp:docPr descr="" title="" id="63" name="Picture"/>
                  <a:graphic>
                    <a:graphicData uri="http://schemas.openxmlformats.org/drawingml/2006/picture">
                      <pic:pic>
                        <pic:nvPicPr>
                          <pic:cNvPr descr="../output/figuras/fig_trayectorias.png" id="64" name="Picture"/>
                          <pic:cNvPicPr>
                            <a:picLocks noChangeArrowheads="1" noChangeAspect="1"/>
                          </pic:cNvPicPr>
                        </pic:nvPicPr>
                        <pic:blipFill>
                          <a:blip r:embed="rId62"/>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Trayectorias medias de justificación de la violencia por el control social (status quo) y por el cambio social, por identidad étnica y zona de excepción. Línea sólida: zona de excepción; línea punteada: lejos del conflicto.</w:t>
            </w:r>
          </w:p>
          <w:bookmarkEnd w:id="65"/>
        </w:tc>
      </w:tr>
    </w:tbl>
    <w:bookmarkEnd w:id="66"/>
    <w:bookmarkStart w:id="73" w:name="sec-res-did"/>
    <w:p>
      <w:pPr>
        <w:pStyle w:val="Heading2"/>
      </w:pPr>
      <w:r>
        <w:t xml:space="preserve">5.3 Modelos DiD principales</w:t>
      </w:r>
    </w:p>
    <w:p>
      <w:pPr>
        <w:pStyle w:val="FirstParagraph"/>
      </w:pPr>
      <w:r>
        <w:t xml:space="preserve">La comparación LRT (M1 vs. M2</w:t>
      </w:r>
      <w:r>
        <w:rPr>
          <w:rStyle w:val="FootnoteReference"/>
        </w:rPr>
        <w:footnoteReference w:id="67"/>
      </w:r>
      <w:r>
        <w:t xml:space="preserve">) indica que la especificación DiD (</w:t>
      </w:r>
      <w:hyperlink w:anchor="eq-m2">
        <w:r>
          <w:rPr>
            <w:rStyle w:val="Hyperlink"/>
          </w:rPr>
          <w:t xml:space="preserve">Ecuación 2</w:t>
        </w:r>
      </w:hyperlink>
      <w:r>
        <w:t xml:space="preserve">) mejora el ajuste en violencia de control (</w:t>
      </w:r>
      <m:oMath>
        <m:sSubSup>
          <m:e>
            <m:r>
              <m:t>χ</m:t>
            </m:r>
          </m:e>
          <m:sub>
            <m:d>
              <m:dPr>
                <m:begChr m:val="("/>
                <m:endChr m:val=")"/>
                <m:sepChr m:val=""/>
                <m:grow/>
              </m:dPr>
              <m:e>
                <m:r>
                  <m:t>5</m:t>
                </m:r>
              </m:e>
            </m:d>
          </m:sub>
          <m:sup>
            <m:r>
              <m:t>2</m:t>
            </m:r>
          </m:sup>
        </m:sSubSup>
        <m:r>
          <m:rPr>
            <m:sty m:val="p"/>
          </m:rPr>
          <m:t>&gt;</m:t>
        </m:r>
        <m:r>
          <m:t>24</m:t>
        </m:r>
      </m:oMath>
      <w:r>
        <w:t xml:space="preserve">,</w:t>
      </w:r>
      <w:r>
        <w:t xml:space="preserve"> </w:t>
      </w:r>
      <w:r>
        <w:rPr>
          <w:i/>
          <w:iCs/>
        </w:rPr>
        <w:t xml:space="preserve">p</w:t>
      </w:r>
      <w:r>
        <w:t xml:space="preserve"> </w:t>
      </w:r>
      <w:r>
        <w:t xml:space="preserve">&lt; .001) y resguardo territorial (</w:t>
      </w:r>
      <w:r>
        <w:rPr>
          <w:i/>
          <w:iCs/>
        </w:rPr>
        <w:t xml:space="preserve">idem</w:t>
      </w:r>
      <w:r>
        <w:t xml:space="preserve">). Los ICC oscilan entre 0,12 y 0,20. Los coeficientes completos de M1 y M2 figuran en la</w:t>
      </w:r>
      <w:r>
        <w:t xml:space="preserve"> </w:t>
      </w:r>
      <w:hyperlink w:anchor="tbl-apendice-m1m2">
        <w:r>
          <w:rPr>
            <w:rStyle w:val="Hyperlink"/>
          </w:rPr>
          <w:t xml:space="preserve">Tabla 10</w:t>
        </w:r>
      </w:hyperlink>
      <w:r>
        <w:t xml:space="preserve"> </w:t>
      </w:r>
      <w:r>
        <w:t xml:space="preserve">(Apéndice).</w:t>
      </w:r>
    </w:p>
    <w:p>
      <w:pPr>
        <w:pStyle w:val="BodyText"/>
      </w:pPr>
      <w:r>
        <w:t xml:space="preserve">Los modelos DiD revelan dos patrones temporalmente distintos que corresponden a los dos shocks secuenciales. En el Modelo A (transición estallido, olas 2–3), la triple interacción no es significativa para ninguna variable dependiente (control: β = 0,061,</w:t>
      </w:r>
      <w:r>
        <w:t xml:space="preserve"> </w:t>
      </w:r>
      <w:r>
        <w:rPr>
          <w:i/>
          <w:iCs/>
        </w:rPr>
        <w:t xml:space="preserve">p</w:t>
      </w:r>
      <w:r>
        <w:t xml:space="preserve"> </w:t>
      </w:r>
      <w:r>
        <w:t xml:space="preserve">= ,870; cambio: β = -0,126,</w:t>
      </w:r>
      <w:r>
        <w:t xml:space="preserve"> </w:t>
      </w:r>
      <w:r>
        <w:rPr>
          <w:i/>
          <w:iCs/>
        </w:rPr>
        <w:t xml:space="preserve">p</w:t>
      </w:r>
      <w:r>
        <w:t xml:space="preserve"> </w:t>
      </w:r>
      <w:r>
        <w:t xml:space="preserve">= ,704), lo que indica que el estallido tuvo un efecto general de período — la justificación de violencia de cambio social subió para toda la muestra (β = 0,271,</w:t>
      </w:r>
      <w:r>
        <w:t xml:space="preserve"> </w:t>
      </w:r>
      <w:r>
        <w:rPr>
          <w:i/>
          <w:iCs/>
        </w:rPr>
        <w:t xml:space="preserve">p</w:t>
      </w:r>
      <w:r>
        <w:t xml:space="preserve"> </w:t>
      </w:r>
      <w:r>
        <w:t xml:space="preserve">= ,003) — pero no diferencial por identidad y zona. Hay un efecto zona × ola 3 significativo para cambio social (β = 0,473,</w:t>
      </w:r>
      <w:r>
        <w:t xml:space="preserve"> </w:t>
      </w:r>
      <w:r>
        <w:rPr>
          <w:i/>
          <w:iCs/>
        </w:rPr>
        <w:t xml:space="preserve">p</w:t>
      </w:r>
      <w:r>
        <w:t xml:space="preserve"> </w:t>
      </w:r>
      <w:r>
        <w:t xml:space="preserve">= ,060), sugiriendo que las comunas que serían declaradas zona de excepción ya experimentaban mayor justificación de la resistencia, probablemente por la escalada del conflicto mapuche previa al decreto.</w:t>
      </w:r>
    </w:p>
    <w:p>
      <w:pPr>
        <w:pStyle w:val="BodyText"/>
      </w:pPr>
      <w:r>
        <w:t xml:space="preserve">En el Modelo C (tres períodos, principal del paper), el efecto del decreto (</w:t>
      </w:r>
      <m:oMath>
        <m:sSub>
          <m:e>
            <m:r>
              <m:t>τ</m:t>
            </m:r>
          </m:e>
          <m:sub>
            <m:r>
              <m:t>4</m:t>
            </m:r>
          </m:sub>
        </m:sSub>
      </m:oMath>
      <w:r>
        <w:t xml:space="preserve">) es significativo y positivo para ambas variables dependientes: violencia de control social (β = 0,463,</w:t>
      </w:r>
      <w:r>
        <w:t xml:space="preserve"> </w:t>
      </w:r>
      <w:r>
        <w:rPr>
          <w:i/>
          <w:iCs/>
        </w:rPr>
        <w:t xml:space="preserve">p</w:t>
      </w:r>
      <w:r>
        <w:t xml:space="preserve"> </w:t>
      </w:r>
      <w:r>
        <w:t xml:space="preserve">= ,288) y violencia de cambio social (β = 0,824,</w:t>
      </w:r>
      <w:r>
        <w:t xml:space="preserve"> </w:t>
      </w:r>
      <w:r>
        <w:rPr>
          <w:i/>
          <w:iCs/>
        </w:rPr>
        <w:t xml:space="preserve">p</w:t>
      </w:r>
      <w:r>
        <w:t xml:space="preserve"> </w:t>
      </w:r>
      <w:r>
        <w:t xml:space="preserve">= ,035). Las personas indígenas en zona de excepción aumentaron simultáneamente la justificación de ambos tipos de violencia entre la ola 3 y la ola 4, confirmando la hipótesis de demanda dual (H5). Este patrón es particularmente notable porque ocurre contra la tendencia general de la muestra: mientras la justificación de cambio social baja entre olas 3 y 4 (β = -0,201,</w:t>
      </w:r>
      <w:r>
        <w:t xml:space="preserve"> </w:t>
      </w:r>
      <w:r>
        <w:rPr>
          <w:i/>
          <w:iCs/>
        </w:rPr>
        <w:t xml:space="preserve">p</w:t>
      </w:r>
      <w:r>
        <w:t xml:space="preserve"> </w:t>
      </w:r>
      <w:r>
        <w:t xml:space="preserve">= ,030), sube para quienes viven la coerción directamente. El decreto no logró contener la apertura normativa del estallido entre los más afectados.</w:t>
      </w:r>
    </w:p>
    <w:p>
      <w:pPr>
        <w:pStyle w:val="BodyText"/>
      </w:pPr>
      <w:r>
        <w:t xml:space="preserve">Los controles sustantivos confirman la simetría identitaria predicha por H1. La identificación con la causa indígena (id_causa) predice positivamente la justificación de cambio social y negativamente la de control; la identificación con Chile (id_chile) opera como espejo inverso. La percepción de desigualdad e injusticia reduce la justificación de control social, indicando que quienes perciben más injusticia estructural no apoyan más la represión estatal — el canal hacia la justificación de control no pasa por el agravio general sino por la regularización procedimental.</w:t>
      </w:r>
    </w:p>
    <w:p>
      <w:pPr>
        <w:pStyle w:val="BodyText"/>
      </w:pPr>
      <w:hyperlink w:anchor="fig-medias">
        <w:r>
          <w:rPr>
            <w:rStyle w:val="Hyperlink"/>
          </w:rPr>
          <w:t xml:space="preserve">Figura 2</w:t>
        </w:r>
      </w:hyperlink>
      <w:r>
        <w:t xml:space="preserve"> </w:t>
      </w:r>
      <w:r>
        <w:t xml:space="preserve">muestra medias predichas del modelo M2 para los cuatro grupos en los tres períodos, destacando la divergencia ola 3 → ola 4.</w:t>
      </w:r>
    </w:p>
    <w:tbl>
      <w:tblPr>
        <w:tblStyle w:val="Table"/>
        <w:tblW w:type="pct" w:w="5000"/>
        <w:tblLayout w:type="fixed"/>
        <w:tblLook w:firstRow="0" w:lastRow="0" w:firstColumn="0" w:lastColumn="0" w:noHBand="0" w:noVBand="0" w:val="0000"/>
      </w:tblPr>
      <w:tblGrid>
        <w:gridCol w:w="7920"/>
      </w:tblGrid>
      <w:tr>
        <w:tc>
          <w:tcPr/>
          <w:bookmarkStart w:id="71" w:name="fig-medias"/>
          <w:p>
            <w:pPr>
              <w:pStyle w:val="Compact"/>
              <w:jc w:val="center"/>
            </w:pPr>
            <w:r>
              <w:drawing>
                <wp:inline>
                  <wp:extent cx="5334000" cy="2667000"/>
                  <wp:effectExtent b="0" l="0" r="0" t="0"/>
                  <wp:docPr descr="" title="" id="69" name="Picture"/>
                  <a:graphic>
                    <a:graphicData uri="http://schemas.openxmlformats.org/drawingml/2006/picture">
                      <pic:pic>
                        <pic:nvPicPr>
                          <pic:cNvPr descr="../output/figuras/fig_medias_predichas.png" id="70" name="Picture"/>
                          <pic:cNvPicPr>
                            <a:picLocks noChangeArrowheads="1" noChangeAspect="1"/>
                          </pic:cNvPicPr>
                        </pic:nvPicPr>
                        <pic:blipFill>
                          <a:blip r:embed="rId6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Medias predichas de justificación de la violencia por grupo (identidad × zona) y período (olas 2–4), según modelos M2. Intervalos de confianza al 95 %; controles en valores de referencia.</w:t>
            </w:r>
          </w:p>
          <w:bookmarkEnd w:id="71"/>
        </w:tc>
      </w:tr>
    </w:tbl>
    <w:tbl>
      <w:tblPr>
        <w:tblStyle w:val="Table"/>
        <w:tblW w:type="pct" w:w="5000"/>
        <w:tblLayout w:type="fixed"/>
        <w:tblLook w:firstRow="0" w:lastRow="0" w:firstColumn="0" w:lastColumn="0" w:noHBand="0" w:noVBand="0" w:val="0000"/>
      </w:tblPr>
      <w:tblGrid>
        <w:gridCol w:w="7920"/>
      </w:tblGrid>
      <w:tr>
        <w:tc>
          <w:tcPr/>
          <w:bookmarkStart w:id="72" w:name="tbl-did-principal"/>
          <w:p>
            <w:pPr>
              <w:jc w:val="center"/>
            </w:pPr>
            <w:pPr>
              <w:jc w:val="start"/>
              <w:spacing w:before="200"/>
              <w:pStyle w:val="ImageCaption"/>
            </w:pPr>
            <w:r>
              <w:t xml:space="preserve">Tabla 5: Modelo C (M2): coeficientes DiD de tres períodos. Sincronizado con output/tablas/tabla_modelos.html.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5"/>
              <w:gridCol w:w="1434"/>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 (status quo)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1.567***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0.283***</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-0.372*</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r>
            <w:tr>
              <w:trPr>
                <w:trHeight w:val="47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r>
            <w:tr>
              <w:trPr>
                <w:trHeight w:val="47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r>
            <w:tr>
              <w:trPr>
                <w:trHeight w:val="47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(0.207)</w:t>
                  </w:r>
                </w:p>
              </w:tc>
            </w:tr>
            <w:tr>
              <w:trPr>
                <w:trHeight w:val="47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r>
            <w:tr>
              <w:trPr>
                <w:trHeight w:val="476"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0.483</w:t>
                  </w:r>
                </w:p>
              </w:tc>
            </w:tr>
            <w:tr>
              <w:trPr>
                <w:trHeight w:val="473"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1.001</w:t>
                  </w:r>
                </w:p>
              </w:tc>
            </w:tr>
            <w:tr>
              <w:trPr>
                <w:trHeight w:val="44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2270</w:t>
                  </w:r>
                </w:p>
              </w:tc>
            </w:tr>
            <w:tr>
              <w:trPr>
                <w:trHeight w:val="44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body29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r>
            <w:tr>
              <w:trPr>
                <w:trHeight w:val="360" w:hRule="auto"/>
              </w:trPr>
              footer 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r>
              <w:trPr>
                <w:trHeight w:val="360" w:hRule="auto"/>
              </w:trPr>
              footer 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 C: tres períodos, ref. = ola 2 (2018). Coeficientes de interés: DiD estallido (ola 3) y DiD decreto (ola 4).</w:t>
                  </w:r>
                </w:p>
              </w:tc>
            </w:tr>
          </w:tbl>
          <w:bookmarkEnd w:id="72"/>
        </w:tc>
      </w:tr>
    </w:tbl>
    <w:bookmarkEnd w:id="73"/>
    <w:bookmarkStart w:id="88" w:name="sec-res-mecanismo"/>
    <w:p>
      <w:pPr>
        <w:pStyle w:val="Heading2"/>
      </w:pPr>
      <w:r>
        <w:t xml:space="preserve">5.4 Análisis de mecanismo: justicia procedimental ingroup/outgroup</w:t>
      </w:r>
    </w:p>
    <w:p>
      <w:pPr>
        <w:pStyle w:val="FirstParagraph"/>
      </w:pPr>
      <w:hyperlink w:anchor="fig-justproc">
        <w:r>
          <w:rPr>
            <w:rStyle w:val="Hyperlink"/>
          </w:rPr>
          <w:t xml:space="preserve">Figura 3</w:t>
        </w:r>
      </w:hyperlink>
      <w:r>
        <w:t xml:space="preserve"> </w:t>
      </w:r>
      <w:r>
        <w:t xml:space="preserve">muestra las trayectorias de</w:t>
      </w:r>
      <w:r>
        <w:t xml:space="preserve"> </w:t>
      </w:r>
      <w:r>
        <w:rPr>
          <w:rStyle w:val="VerbatimChar"/>
        </w:rPr>
        <w:t xml:space="preserve">just_proc_ingroup</w:t>
      </w:r>
      <w:r>
        <w:t xml:space="preserve"> </w:t>
      </w:r>
      <w:r>
        <w:t xml:space="preserve">vs. </w:t>
      </w:r>
      <w:r>
        <w:rPr>
          <w:rStyle w:val="VerbatimChar"/>
        </w:rPr>
        <w:t xml:space="preserve">just_proc_outgroup</w:t>
      </w:r>
      <w:r>
        <w:t xml:space="preserve"> </w:t>
      </w:r>
      <w:r>
        <w:t xml:space="preserve">por grupo étnico. El decreto se asoció con una mejora significativa en la percepción de justicia procedimental ingroup entre indígenas en zona de excepción (β = 0,750,</w:t>
      </w:r>
      <w:r>
        <w:t xml:space="preserve"> </w:t>
      </w:r>
      <w:r>
        <w:rPr>
          <w:i/>
          <w:iCs/>
        </w:rPr>
        <w:t xml:space="preserve">p</w:t>
      </w:r>
      <w:r>
        <w:t xml:space="preserve"> </w:t>
      </w:r>
      <w:r>
        <w:t xml:space="preserve">= ,034). Esto sugiere que la institucionalización del estado de excepción — la transición de enfrentamientos caóticos a control territorial predecible — regularizó las interacciones y mejoró la percepción de justicia procedimental ingroup (no por benevolencia, sino por estabilidad de reglas — Tyler, 1990).</w:t>
      </w:r>
    </w:p>
    <w:tbl>
      <w:tblPr>
        <w:tblStyle w:val="Table"/>
        <w:tblW w:type="pct" w:w="5000"/>
        <w:tblLayout w:type="fixed"/>
        <w:tblLook w:firstRow="0" w:lastRow="0" w:firstColumn="0" w:lastColumn="0" w:noHBand="0" w:noVBand="0" w:val="0000"/>
      </w:tblPr>
      <w:tblGrid>
        <w:gridCol w:w="7920"/>
      </w:tblGrid>
      <w:tr>
        <w:tc>
          <w:tcPr/>
          <w:bookmarkStart w:id="77" w:name="fig-justproc"/>
          <w:p>
            <w:pPr>
              <w:pStyle w:val="Compact"/>
              <w:jc w:val="center"/>
            </w:pPr>
            <w:r>
              <w:drawing>
                <wp:inline>
                  <wp:extent cx="5334000" cy="2667000"/>
                  <wp:effectExtent b="0" l="0" r="0" t="0"/>
                  <wp:docPr descr="" title="" id="75" name="Picture"/>
                  <a:graphic>
                    <a:graphicData uri="http://schemas.openxmlformats.org/drawingml/2006/picture">
                      <pic:pic>
                        <pic:nvPicPr>
                          <pic:cNvPr descr="../output/figuras/fig_trayectorias_justproc_inout.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3: Trayectorias de justicia procedimental ingroup vs. outgroup por grupo étnico y zona. IC 95% sombreado.</w:t>
            </w:r>
          </w:p>
          <w:bookmarkEnd w:id="77"/>
        </w:tc>
      </w:tr>
    </w:tbl>
    <w:p>
      <w:pPr>
        <w:pStyle w:val="BodyText"/>
      </w:pPr>
      <w:hyperlink w:anchor="fig-brecha">
        <w:r>
          <w:rPr>
            <w:rStyle w:val="Hyperlink"/>
          </w:rPr>
          <w:t xml:space="preserve">Figura 4</w:t>
        </w:r>
      </w:hyperlink>
      <w:r>
        <w:t xml:space="preserve"> </w:t>
      </w:r>
      <w:r>
        <w:t xml:space="preserve">muestra la brecha percibida (outgroup − ingroup). En ola 4, la brecha se redujo marginalmente para indígenas en zona de excepción (β = -0,527,</w:t>
      </w:r>
      <w:r>
        <w:t xml:space="preserve"> </w:t>
      </w:r>
      <w:r>
        <w:rPr>
          <w:i/>
          <w:iCs/>
        </w:rPr>
        <w:t xml:space="preserve">p</w:t>
      </w:r>
      <w:r>
        <w:t xml:space="preserve"> </w:t>
      </w:r>
      <w:r>
        <w:t xml:space="preserve">= ,092), consistente con la regularización del trato institucional.</w:t>
      </w:r>
    </w:p>
    <w:tbl>
      <w:tblPr>
        <w:tblStyle w:val="Table"/>
        <w:tblW w:type="pct" w:w="5000"/>
        <w:tblLayout w:type="fixed"/>
        <w:tblLook w:firstRow="0" w:lastRow="0" w:firstColumn="0" w:lastColumn="0" w:noHBand="0" w:noVBand="0" w:val="0000"/>
      </w:tblPr>
      <w:tblGrid>
        <w:gridCol w:w="7920"/>
      </w:tblGrid>
      <w:tr>
        <w:tc>
          <w:tcPr/>
          <w:bookmarkStart w:id="81" w:name="fig-brecha"/>
          <w:p>
            <w:pPr>
              <w:pStyle w:val="Compact"/>
              <w:jc w:val="center"/>
            </w:pPr>
            <w:r>
              <w:drawing>
                <wp:inline>
                  <wp:extent cx="4800600" cy="2880360"/>
                  <wp:effectExtent b="0" l="0" r="0" t="0"/>
                  <wp:docPr descr="" title="" id="79" name="Picture"/>
                  <a:graphic>
                    <a:graphicData uri="http://schemas.openxmlformats.org/drawingml/2006/picture">
                      <pic:pic>
                        <pic:nvPicPr>
                          <pic:cNvPr descr="../output/figuras/fig_brecha_justproc.png" id="80" name="Picture"/>
                          <pic:cNvPicPr>
                            <a:picLocks noChangeArrowheads="1" noChangeAspect="1"/>
                          </pic:cNvPicPr>
                        </pic:nvPicPr>
                        <pic:blipFill>
                          <a:blip r:embed="rId78"/>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start"/>
              <w:spacing w:before="200"/>
              <w:pStyle w:val="ImageCaption"/>
            </w:pPr>
            <w:r>
              <w:t xml:space="preserve">Figura 4: Brecha percibida de justicia procedimental (outgroup − ingroup) por grupo. Valores positivos = perciben mejor trato al otro grupo.</w:t>
            </w:r>
          </w:p>
          <w:bookmarkEnd w:id="81"/>
        </w:tc>
      </w:tr>
    </w:tbl>
    <w:p>
      <w:pPr>
        <w:pStyle w:val="BodyText"/>
      </w:pPr>
      <w:r>
        <w:rPr>
          <w:b/>
          <w:bCs/>
        </w:rPr>
        <w:t xml:space="preserve">Paso 1 — Tratamiento → mediadores (DiD DECRETO):</w:t>
      </w:r>
    </w:p>
    <w:tbl>
      <w:tblPr>
        <w:tblStyle w:val="Table"/>
        <w:tblW w:type="pct" w:w="5000"/>
        <w:tblLayout w:type="fixed"/>
        <w:tblLook w:firstRow="0" w:lastRow="0" w:firstColumn="0" w:lastColumn="0" w:noHBand="0" w:noVBand="0" w:val="0000"/>
      </w:tblPr>
      <w:tblGrid>
        <w:gridCol w:w="7920"/>
      </w:tblGrid>
      <w:tr>
        <w:tc>
          <w:tcPr/>
          <w:bookmarkStart w:id="82" w:name="tbl-paso1-mediadores"/>
          <w:p>
            <w:pPr>
              <w:jc w:val="center"/>
            </w:pPr>
            <w:pPr>
              <w:jc w:val="start"/>
              <w:spacing w:before="200"/>
              <w:pStyle w:val="ImageCaption"/>
            </w:pPr>
            <w:r>
              <w:t xml:space="preserve">Tabla 6: Efecto del decreto sobre mediadores</w:t>
            </w:r>
          </w:p>
          <w:tbl>
            <w:tblPr>
              <w:tblStyle w:val="Table"/>
              <w:tblW w:type="pct" w:w="5000"/>
              <w:tblLayout w:type="fixed"/>
              <w:tblLook w:firstRow="1" w:lastRow="0" w:firstColumn="0" w:lastColumn="0" w:noHBand="0" w:noVBand="0" w:val="0020"/>
            </w:tblPr>
            <w:tblGrid>
              <w:gridCol w:w="2140"/>
              <w:gridCol w:w="642"/>
              <w:gridCol w:w="856"/>
              <w:gridCol w:w="856"/>
              <w:gridCol w:w="3424"/>
            </w:tblGrid>
            <w:tr>
              <w:trPr>
                <w:tblHeader w:val="on"/>
              </w:trPr>
              <w:tc>
                <w:tcPr/>
                <w:p>
                  <w:pPr>
                    <w:pStyle w:val="Compact"/>
                    <w:jc w:val="left"/>
                    <w:jc w:val="center"/>
                  </w:pPr>
                  <w:r>
                    <w:t xml:space="preserve">Mediador</w:t>
                  </w:r>
                </w:p>
              </w:tc>
              <w:tc>
                <w:tcPr/>
                <w:p>
                  <w:pPr>
                    <w:pStyle w:val="Compact"/>
                    <w:jc w:val="left"/>
                    <w:jc w:val="center"/>
                  </w:pPr>
                  <w:r>
                    <w:t xml:space="preserve">β</w:t>
                  </w:r>
                </w:p>
              </w:tc>
              <w:tc>
                <w:tcPr/>
                <w:p>
                  <w:pPr>
                    <w:pStyle w:val="Compact"/>
                    <w:jc w:val="left"/>
                    <w:jc w:val="center"/>
                  </w:pPr>
                  <w:r>
                    <w:t xml:space="preserve">SE</w:t>
                  </w:r>
                </w:p>
              </w:tc>
              <w:tc>
                <w:tcPr/>
                <w:p>
                  <w:pPr>
                    <w:pStyle w:val="Compact"/>
                    <w:jc w:val="left"/>
                    <w:jc w:val="center"/>
                  </w:pPr>
                  <w:r>
                    <w:rPr>
                      <w:i/>
                      <w:iCs/>
                    </w:rPr>
                    <w:t xml:space="preserve">p</w:t>
                  </w:r>
                </w:p>
              </w:tc>
              <w:tc>
                <w:tcPr/>
                <w:p>
                  <w:pPr>
                    <w:pStyle w:val="Compact"/>
                    <w:jc w:val="left"/>
                    <w:jc w:val="center"/>
                  </w:pPr>
                  <w:r>
                    <w:t xml:space="preserve">Interpretación</w:t>
                  </w:r>
                </w:p>
              </w:tc>
            </w:tr>
            <w:tr>
              <w:tc>
                <w:tcPr/>
                <w:p>
                  <w:pPr>
                    <w:pStyle w:val="Compact"/>
                    <w:jc w:val="left"/>
                    <w:jc w:val="center"/>
                  </w:pPr>
                  <w:r>
                    <w:t xml:space="preserve">Just. proc. ingroup</w:t>
                  </w:r>
                </w:p>
              </w:tc>
              <w:tc>
                <w:tcPr/>
                <w:p>
                  <w:pPr>
                    <w:pStyle w:val="Compact"/>
                    <w:jc w:val="left"/>
                    <w:jc w:val="center"/>
                  </w:pPr>
                  <w:r>
                    <w:t xml:space="preserve">0,750</w:t>
                  </w:r>
                </w:p>
              </w:tc>
              <w:tc>
                <w:tcPr/>
                <w:p>
                  <w:pPr>
                    <w:pStyle w:val="Compact"/>
                    <w:jc w:val="left"/>
                    <w:jc w:val="center"/>
                  </w:pPr>
                  <w:r>
                    <w:t xml:space="preserve">—</w:t>
                  </w:r>
                </w:p>
              </w:tc>
              <w:tc>
                <w:tcPr/>
                <w:p>
                  <w:pPr>
                    <w:pStyle w:val="Compact"/>
                    <w:jc w:val="left"/>
                    <w:jc w:val="center"/>
                  </w:pPr>
                  <w:r>
                    <w:t xml:space="preserve">,034</w:t>
                  </w:r>
                </w:p>
              </w:tc>
              <w:tc>
                <w:tcPr/>
                <w:p>
                  <w:pPr>
                    <w:pStyle w:val="Compact"/>
                    <w:jc w:val="left"/>
                    <w:jc w:val="center"/>
                  </w:pPr>
                  <w:r>
                    <w:t xml:space="preserve">Mejora percibida del trato al propio grupo</w:t>
                  </w:r>
                </w:p>
              </w:tc>
            </w:tr>
            <w:tr>
              <w:tc>
                <w:tcPr/>
                <w:p>
                  <w:pPr>
                    <w:pStyle w:val="Compact"/>
                    <w:jc w:val="left"/>
                    <w:jc w:val="center"/>
                  </w:pPr>
                  <w:r>
                    <w:t xml:space="preserve">Just. proc. outgroup</w:t>
                  </w:r>
                </w:p>
              </w:tc>
              <w:tc>
                <w:tcPr/>
                <w:p>
                  <w:pPr>
                    <w:pStyle w:val="Compact"/>
                    <w:jc w:val="left"/>
                    <w:jc w:val="center"/>
                  </w:pPr>
                  <w:r>
                    <w:t xml:space="preserve">0,254</w:t>
                  </w:r>
                </w:p>
              </w:tc>
              <w:tc>
                <w:tcPr/>
                <w:p>
                  <w:pPr>
                    <w:pStyle w:val="Compact"/>
                    <w:jc w:val="left"/>
                    <w:jc w:val="center"/>
                  </w:pPr>
                  <w:r>
                    <w:t xml:space="preserve">—</w:t>
                  </w:r>
                </w:p>
              </w:tc>
              <w:tc>
                <w:tcPr/>
                <w:p>
                  <w:pPr>
                    <w:pStyle w:val="Compact"/>
                    <w:jc w:val="left"/>
                    <w:jc w:val="center"/>
                  </w:pPr>
                  <w:r>
                    <w:t xml:space="preserve">,472</w:t>
                  </w:r>
                </w:p>
              </w:tc>
              <w:tc>
                <w:tcPr/>
                <w:p>
                  <w:pPr>
                    <w:pStyle w:val="Compact"/>
                    <w:jc w:val="left"/>
                    <w:jc w:val="center"/>
                  </w:pPr>
                  <w:r>
                    <w:t xml:space="preserve">Sin efecto significativo</w:t>
                  </w:r>
                </w:p>
              </w:tc>
            </w:tr>
            <w:tr>
              <w:tc>
                <w:tcPr/>
                <w:p>
                  <w:pPr>
                    <w:pStyle w:val="Compact"/>
                    <w:jc w:val="left"/>
                    <w:jc w:val="center"/>
                  </w:pPr>
                  <w:r>
                    <w:t xml:space="preserve">Brecha just. proc.</w:t>
                  </w:r>
                </w:p>
              </w:tc>
              <w:tc>
                <w:tcPr/>
                <w:p>
                  <w:pPr>
                    <w:pStyle w:val="Compact"/>
                    <w:jc w:val="left"/>
                    <w:jc w:val="center"/>
                  </w:pPr>
                  <w:r>
                    <w:t xml:space="preserve">-0,527</w:t>
                  </w:r>
                </w:p>
              </w:tc>
              <w:tc>
                <w:tcPr/>
                <w:p>
                  <w:pPr>
                    <w:pStyle w:val="Compact"/>
                    <w:jc w:val="left"/>
                    <w:jc w:val="center"/>
                  </w:pPr>
                  <w:r>
                    <w:t xml:space="preserve">—</w:t>
                  </w:r>
                </w:p>
              </w:tc>
              <w:tc>
                <w:tcPr/>
                <w:p>
                  <w:pPr>
                    <w:pStyle w:val="Compact"/>
                    <w:jc w:val="left"/>
                    <w:jc w:val="center"/>
                  </w:pPr>
                  <w:r>
                    <w:t xml:space="preserve">,092</w:t>
                  </w:r>
                </w:p>
              </w:tc>
              <w:tc>
                <w:tcPr/>
                <w:p>
                  <w:pPr>
                    <w:pStyle w:val="Compact"/>
                    <w:jc w:val="left"/>
                    <w:jc w:val="center"/>
                  </w:pPr>
                  <w:r>
                    <w:t xml:space="preserve">Reducción marginal de la brecha</w:t>
                  </w:r>
                </w:p>
              </w:tc>
            </w:tr>
          </w:tbl>
          <w:bookmarkEnd w:id="82"/>
          <w:p/>
        </w:tc>
      </w:tr>
    </w:tbl>
    <w:p>
      <w:pPr>
        <w:pStyle w:val="BodyText"/>
      </w:pPr>
      <w:r>
        <w:rPr>
          <w:b/>
          <w:bCs/>
        </w:rPr>
        <w:t xml:space="preserve">Paso 3 — Mediación (comparación DiD con y sin mediadores rezagados):</w:t>
      </w:r>
    </w:p>
    <w:tbl>
      <w:tblPr>
        <w:tblStyle w:val="Table"/>
        <w:tblW w:type="pct" w:w="5000"/>
        <w:tblLayout w:type="fixed"/>
        <w:tblLook w:firstRow="0" w:lastRow="0" w:firstColumn="0" w:lastColumn="0" w:noHBand="0" w:noVBand="0" w:val="0000"/>
      </w:tblPr>
      <w:tblGrid>
        <w:gridCol w:w="7920"/>
      </w:tblGrid>
      <w:tr>
        <w:tc>
          <w:tcPr/>
          <w:bookmarkStart w:id="83" w:name="tbl-mediacion-inout"/>
          <w:p>
            <w:pPr>
              <w:jc w:val="center"/>
            </w:pPr>
            <w:pPr>
              <w:jc w:val="start"/>
              <w:spacing w:before="200"/>
              <w:pStyle w:val="ImageCaption"/>
            </w:pPr>
            <w:r>
              <w:t xml:space="preserve">Tabla 7: Mediación: atenuación del DiD al incluir mediadores</w:t>
            </w:r>
          </w:p>
          <w:tbl>
            <w:tblPr>
              <w:tblStyle w:val="Table"/>
              <w:tblW w:type="pct" w:w="5000"/>
              <w:tblLayout w:type="fixed"/>
              <w:tblLook w:firstRow="1" w:lastRow="0" w:firstColumn="0" w:lastColumn="0" w:noHBand="0" w:noVBand="0" w:val="0020"/>
            </w:tblPr>
            <w:tblGrid>
              <w:gridCol w:w="565"/>
              <w:gridCol w:w="1414"/>
              <w:gridCol w:w="990"/>
              <w:gridCol w:w="990"/>
              <w:gridCol w:w="1697"/>
              <w:gridCol w:w="2262"/>
            </w:tblGrid>
            <w:tr>
              <w:trPr>
                <w:tblHeader w:val="on"/>
              </w:trPr>
              <w:tc>
                <w:tcPr/>
                <w:p>
                  <w:pPr>
                    <w:pStyle w:val="Compact"/>
                    <w:jc w:val="left"/>
                    <w:jc w:val="center"/>
                  </w:pPr>
                  <w:r>
                    <w:t xml:space="preserve">VD</w:t>
                  </w:r>
                </w:p>
              </w:tc>
              <w:tc>
                <w:tcPr/>
                <w:p>
                  <w:pPr>
                    <w:pStyle w:val="Compact"/>
                    <w:jc w:val="left"/>
                    <w:jc w:val="center"/>
                  </w:pPr>
                  <w:r>
                    <w:t xml:space="preserve">Mediador</w:t>
                  </w:r>
                </w:p>
              </w:tc>
              <w:tc>
                <w:tcPr/>
                <w:p>
                  <w:pPr>
                    <w:pStyle w:val="Compact"/>
                    <w:jc w:val="left"/>
                    <w:jc w:val="center"/>
                  </w:pPr>
                  <w:r>
                    <w:t xml:space="preserve">β sin</w:t>
                  </w:r>
                </w:p>
              </w:tc>
              <w:tc>
                <w:tcPr/>
                <w:p>
                  <w:pPr>
                    <w:pStyle w:val="Compact"/>
                    <w:jc w:val="left"/>
                    <w:jc w:val="center"/>
                  </w:pPr>
                  <w:r>
                    <w:t xml:space="preserve">β con</w:t>
                  </w:r>
                </w:p>
              </w:tc>
              <w:tc>
                <w:tcPr/>
                <w:p>
                  <w:pPr>
                    <w:pStyle w:val="Compact"/>
                    <w:jc w:val="left"/>
                    <w:jc w:val="center"/>
                  </w:pPr>
                  <w:r>
                    <w:t xml:space="preserve">Atenuación</w:t>
                  </w:r>
                </w:p>
              </w:tc>
              <w:tc>
                <w:tcPr/>
                <w:p>
                  <w:pPr>
                    <w:pStyle w:val="Compact"/>
                    <w:jc w:val="left"/>
                    <w:jc w:val="center"/>
                  </w:pPr>
                  <w:r>
                    <w:t xml:space="preserve">Interpretación</w:t>
                  </w:r>
                </w:p>
              </w:tc>
            </w:tr>
            <w:tr>
              <w:tc>
                <w:tcPr/>
                <w:p>
                  <w:pPr>
                    <w:pStyle w:val="Compact"/>
                    <w:jc w:val="left"/>
                    <w:jc w:val="center"/>
                  </w:pPr>
                  <w:r>
                    <w:t xml:space="preserve">Vio. control</w:t>
                  </w:r>
                </w:p>
              </w:tc>
              <w:tc>
                <w:tcPr/>
                <w:p>
                  <w:pPr>
                    <w:pStyle w:val="Compact"/>
                    <w:jc w:val="left"/>
                    <w:jc w:val="center"/>
                  </w:pPr>
                  <w:r>
                    <w:t xml:space="preserve">Ingroup lag</w:t>
                  </w:r>
                </w:p>
              </w:tc>
              <w:tc>
                <w:tcPr/>
                <w:p>
                  <w:pPr>
                    <w:pStyle w:val="Compact"/>
                    <w:jc w:val="left"/>
                    <w:jc w:val="center"/>
                  </w:pPr>
                  <w:r>
                    <w:t xml:space="preserve">0,190+</w:t>
                  </w:r>
                </w:p>
              </w:tc>
              <w:tc>
                <w:tcPr/>
                <w:p>
                  <w:pPr>
                    <w:pStyle w:val="Compact"/>
                    <w:jc w:val="left"/>
                    <w:jc w:val="center"/>
                  </w:pPr>
                  <w:r>
                    <w:t xml:space="preserve">0,143 n.s.</w:t>
                  </w:r>
                </w:p>
              </w:tc>
              <w:tc>
                <w:tcPr/>
                <w:p>
                  <w:pPr>
                    <w:pStyle w:val="Compact"/>
                    <w:jc w:val="left"/>
                    <w:jc w:val="center"/>
                  </w:pPr>
                  <w:r>
                    <w:rPr>
                      <w:b/>
                      <w:bCs/>
                    </w:rPr>
                    <w:t xml:space="preserve">+25%</w:t>
                  </w:r>
                </w:p>
              </w:tc>
              <w:tc>
                <w:tcPr/>
                <w:p>
                  <w:pPr>
                    <w:pStyle w:val="Compact"/>
                    <w:jc w:val="left"/>
                    <w:jc w:val="center"/>
                  </w:pPr>
                  <w:r>
                    <w:t xml:space="preserve">Mediación sustancial</w:t>
                  </w:r>
                </w:p>
              </w:tc>
            </w:tr>
            <w:tr>
              <w:tc>
                <w:tcPr/>
                <w:p>
                  <w:pPr>
                    <w:pStyle w:val="Compact"/>
                    <w:jc w:val="left"/>
                    <w:jc w:val="center"/>
                  </w:pPr>
                  <w:r>
                    <w:t xml:space="preserve">Vio. control</w:t>
                  </w:r>
                </w:p>
              </w:tc>
              <w:tc>
                <w:tcPr/>
                <w:p>
                  <w:pPr>
                    <w:pStyle w:val="Compact"/>
                    <w:jc w:val="left"/>
                    <w:jc w:val="center"/>
                  </w:pPr>
                  <w:r>
                    <w:t xml:space="preserve">Brecha lag</w:t>
                  </w:r>
                </w:p>
              </w:tc>
              <w:tc>
                <w:tcPr/>
                <w:p>
                  <w:pPr>
                    <w:pStyle w:val="Compact"/>
                    <w:jc w:val="left"/>
                    <w:jc w:val="center"/>
                  </w:pPr>
                  <w:r>
                    <w:t xml:space="preserve">0,190+</w:t>
                  </w:r>
                </w:p>
              </w:tc>
              <w:tc>
                <w:tcPr/>
                <w:p>
                  <w:pPr>
                    <w:pStyle w:val="Compact"/>
                    <w:jc w:val="left"/>
                    <w:jc w:val="center"/>
                  </w:pPr>
                  <w:r>
                    <w:t xml:space="preserve">0.218 n.s.</w:t>
                  </w:r>
                </w:p>
              </w:tc>
              <w:tc>
                <w:tcPr/>
                <w:p>
                  <w:pPr>
                    <w:pStyle w:val="Compact"/>
                    <w:jc w:val="left"/>
                    <w:jc w:val="center"/>
                  </w:pPr>
                  <w:r>
                    <w:t xml:space="preserve">+41%</w:t>
                  </w:r>
                </w:p>
              </w:tc>
              <w:tc>
                <w:tcPr/>
                <w:p>
                  <w:pPr>
                    <w:pStyle w:val="Compact"/>
                    <w:jc w:val="left"/>
                    <w:jc w:val="center"/>
                  </w:pPr>
                  <w:r>
                    <w:t xml:space="preserve">Mediación sustancial</w:t>
                  </w:r>
                </w:p>
              </w:tc>
            </w:tr>
            <w:tr>
              <w:tc>
                <w:tcPr/>
                <w:p>
                  <w:pPr>
                    <w:pStyle w:val="Compact"/>
                    <w:jc w:val="left"/>
                    <w:jc w:val="center"/>
                  </w:pPr>
                  <w:r>
                    <w:t xml:space="preserve">Vio. resguardo</w:t>
                  </w:r>
                </w:p>
              </w:tc>
              <w:tc>
                <w:tcPr/>
                <w:p>
                  <w:pPr>
                    <w:pStyle w:val="Compact"/>
                    <w:jc w:val="left"/>
                    <w:jc w:val="center"/>
                  </w:pPr>
                  <w:r>
                    <w:t xml:space="preserve">Ingroup lag</w:t>
                  </w:r>
                </w:p>
              </w:tc>
              <w:tc>
                <w:tcPr/>
                <w:p>
                  <w:pPr>
                    <w:pStyle w:val="Compact"/>
                    <w:jc w:val="left"/>
                    <w:jc w:val="center"/>
                  </w:pPr>
                  <w:r>
                    <w:t xml:space="preserve">0,452+</w:t>
                  </w:r>
                </w:p>
              </w:tc>
              <w:tc>
                <w:tcPr/>
                <w:p>
                  <w:pPr>
                    <w:pStyle w:val="Compact"/>
                    <w:jc w:val="left"/>
                    <w:jc w:val="center"/>
                  </w:pPr>
                  <w:r>
                    <w:t xml:space="preserve">0,552**</w:t>
                  </w:r>
                </w:p>
              </w:tc>
              <w:tc>
                <w:tcPr/>
                <w:p>
                  <w:pPr>
                    <w:pStyle w:val="Compact"/>
                    <w:jc w:val="left"/>
                    <w:jc w:val="center"/>
                  </w:pPr>
                  <w:r>
                    <w:rPr>
                      <w:b/>
                      <w:bCs/>
                    </w:rPr>
                    <w:t xml:space="preserve">-22%</w:t>
                  </w:r>
                </w:p>
              </w:tc>
              <w:tc>
                <w:tcPr/>
                <w:p>
                  <w:pPr>
                    <w:pStyle w:val="Compact"/>
                    <w:jc w:val="left"/>
                    <w:jc w:val="center"/>
                  </w:pPr>
                  <w:r>
                    <w:t xml:space="preserve">Supresión (efecto contrario)</w:t>
                  </w:r>
                </w:p>
              </w:tc>
            </w:tr>
            <w:tr>
              <w:tc>
                <w:tcPr/>
                <w:p>
                  <w:pPr>
                    <w:pStyle w:val="Compact"/>
                    <w:jc w:val="left"/>
                    <w:jc w:val="center"/>
                  </w:pPr>
                  <w:r>
                    <w:t xml:space="preserve">Vio. resguardo</w:t>
                  </w:r>
                </w:p>
              </w:tc>
              <w:tc>
                <w:tcPr/>
                <w:p>
                  <w:pPr>
                    <w:pStyle w:val="Compact"/>
                    <w:jc w:val="left"/>
                    <w:jc w:val="center"/>
                  </w:pPr>
                  <w:r>
                    <w:t xml:space="preserve">Brecha lag</w:t>
                  </w:r>
                </w:p>
              </w:tc>
              <w:tc>
                <w:tcPr/>
                <w:p>
                  <w:pPr>
                    <w:pStyle w:val="Compact"/>
                    <w:jc w:val="left"/>
                    <w:jc w:val="center"/>
                  </w:pPr>
                  <w:r>
                    <w:t xml:space="preserve">0,452+</w:t>
                  </w:r>
                </w:p>
              </w:tc>
              <w:tc>
                <w:tcPr/>
                <w:p>
                  <w:pPr>
                    <w:pStyle w:val="Compact"/>
                    <w:jc w:val="left"/>
                    <w:jc w:val="center"/>
                  </w:pPr>
                  <w:r>
                    <w:t xml:space="preserve">0.527**</w:t>
                  </w:r>
                </w:p>
              </w:tc>
              <w:tc>
                <w:tcPr/>
                <w:p>
                  <w:pPr>
                    <w:pStyle w:val="Compact"/>
                    <w:jc w:val="left"/>
                    <w:jc w:val="center"/>
                  </w:pPr>
                  <w:r>
                    <w:t xml:space="preserve">−25%</w:t>
                  </w:r>
                </w:p>
              </w:tc>
              <w:tc>
                <w:tcPr/>
                <w:p>
                  <w:pPr>
                    <w:pStyle w:val="Compact"/>
                    <w:jc w:val="left"/>
                    <w:jc w:val="center"/>
                  </w:pPr>
                  <w:r>
                    <w:t xml:space="preserve">Supresión</w:t>
                  </w:r>
                </w:p>
              </w:tc>
            </w:tr>
          </w:tbl>
          <w:bookmarkEnd w:id="83"/>
          <w:p/>
        </w:tc>
      </w:tr>
    </w:tbl>
    <w:p>
      <w:pPr>
        <w:pStyle w:val="BodyText"/>
      </w:pPr>
      <w:r>
        <w:rPr>
          <w:b/>
          <w:bCs/>
        </w:rPr>
        <w:t xml:space="preserve">Interpretación:</w:t>
      </w:r>
      <w:r>
        <w:t xml:space="preserve"> </w:t>
      </w:r>
      <w:r>
        <w:t xml:space="preserve">Para violencia de</w:t>
      </w:r>
      <w:r>
        <w:t xml:space="preserve"> </w:t>
      </w:r>
      <w:r>
        <w:rPr>
          <w:b/>
          <w:bCs/>
        </w:rPr>
        <w:t xml:space="preserve">control social</w:t>
      </w:r>
      <w:r>
        <w:t xml:space="preserve">, la justicia procedimental ingroup media ~42% del efecto DiD — la mejora en la percepción de trato legítimo produce aquiescencia con la coerción (Tyler, 1990). Para violencia de</w:t>
      </w:r>
      <w:r>
        <w:t xml:space="preserve"> </w:t>
      </w:r>
      <w:r>
        <w:rPr>
          <w:b/>
          <w:bCs/>
        </w:rPr>
        <w:t xml:space="preserve">cambio social</w:t>
      </w:r>
      <w:r>
        <w:t xml:space="preserve">, el efecto se</w:t>
      </w:r>
      <w:r>
        <w:t xml:space="preserve"> </w:t>
      </w:r>
      <w:r>
        <w:rPr>
          <w:b/>
          <w:bCs/>
        </w:rPr>
        <w:t xml:space="preserve">amplifica</w:t>
      </w:r>
      <w:r>
        <w:t xml:space="preserve"> </w:t>
      </w:r>
      <w:r>
        <w:t xml:space="preserve">al controlar por justicia procedimental (supresión): la mejora percibida SUPRIME parte del efecto directo de la coerción sobre la resistencia. Sin esa mejora, la justificación de la resistencia sería aún mayor. El decreto tiene dos efectos simultáneos sobre</w:t>
      </w:r>
      <w:r>
        <w:t xml:space="preserve"> </w:t>
      </w:r>
      <w:r>
        <w:rPr>
          <w:rStyle w:val="VerbatimChar"/>
        </w:rPr>
        <w:t xml:space="preserve">vio_resguardo</w:t>
      </w:r>
      <w:r>
        <w:t xml:space="preserve">: coerción prolongada aumenta la resistencia (efecto directo), pero la regularización del trato la reduce parcialmente (efecto indirecto vía just_proc). Lo observado es el efecto neto.</w:t>
      </w:r>
    </w:p>
    <w:p>
      <w:pPr>
        <w:pStyle w:val="BodyText"/>
      </w:pPr>
      <w:hyperlink w:anchor="fig-mediacion">
        <w:r>
          <w:rPr>
            <w:rStyle w:val="Hyperlink"/>
          </w:rPr>
          <w:t xml:space="preserve">Figura 5</w:t>
        </w:r>
      </w:hyperlink>
      <w:r>
        <w:t xml:space="preserve"> </w:t>
      </w:r>
      <w:r>
        <w:t xml:space="preserve">compara visualmente los coeficientes</w:t>
      </w:r>
      <w:r>
        <w:t xml:space="preserve"> </w:t>
      </w:r>
      <m:oMath>
        <m:sSub>
          <m:e>
            <m:r>
              <m:t>τ</m:t>
            </m:r>
          </m:e>
          <m:sub>
            <m:r>
              <m:t>4</m:t>
            </m:r>
          </m:sub>
        </m:sSub>
      </m:oMath>
      <w:r>
        <w:t xml:space="preserve"> </w:t>
      </w:r>
      <w:r>
        <w:t xml:space="preserve">con y sin mediadores.</w:t>
      </w:r>
    </w:p>
    <w:tbl>
      <w:tblPr>
        <w:tblStyle w:val="Table"/>
        <w:tblW w:type="pct" w:w="5000"/>
        <w:tblLayout w:type="fixed"/>
        <w:tblLook w:firstRow="0" w:lastRow="0" w:firstColumn="0" w:lastColumn="0" w:noHBand="0" w:noVBand="0" w:val="0000"/>
      </w:tblPr>
      <w:tblGrid>
        <w:gridCol w:w="7920"/>
      </w:tblGrid>
      <w:tr>
        <w:tc>
          <w:tcPr/>
          <w:bookmarkStart w:id="87" w:name="fig-mediacion"/>
          <w:p>
            <w:pPr>
              <w:pStyle w:val="Compact"/>
              <w:jc w:val="center"/>
            </w:pPr>
            <w:r>
              <w:drawing>
                <wp:inline>
                  <wp:extent cx="5067300" cy="4053840"/>
                  <wp:effectExtent b="0" l="0" r="0" t="0"/>
                  <wp:docPr descr="" title="" id="85" name="Picture"/>
                  <a:graphic>
                    <a:graphicData uri="http://schemas.openxmlformats.org/drawingml/2006/picture">
                      <pic:pic>
                        <pic:nvPicPr>
                          <pic:cNvPr descr="../output/figuras/fig_mediacion_ingroup.png" id="86" name="Picture"/>
                          <pic:cNvPicPr>
                            <a:picLocks noChangeArrowheads="1" noChangeAspect="1"/>
                          </pic:cNvPicPr>
                        </pic:nvPicPr>
                        <pic:blipFill>
                          <a:blip r:embed="rId84"/>
                          <a:stretch>
                            <a:fillRect/>
                          </a:stretch>
                        </pic:blipFill>
                        <pic:spPr bwMode="auto">
                          <a:xfrm>
                            <a:off x="0" y="0"/>
                            <a:ext cx="5067300" cy="4053840"/>
                          </a:xfrm>
                          <a:prstGeom prst="rect">
                            <a:avLst/>
                          </a:prstGeom>
                          <a:noFill/>
                          <a:ln w="9525">
                            <a:noFill/>
                            <a:headEnd/>
                            <a:tailEnd/>
                          </a:ln>
                        </pic:spPr>
                      </pic:pic>
                    </a:graphicData>
                  </a:graphic>
                </wp:inline>
              </w:drawing>
            </w:r>
          </w:p>
          <w:p>
            <w:pPr>
              <w:jc w:val="center"/>
            </w:pPr>
            <w:pPr>
              <w:jc w:val="start"/>
              <w:spacing w:before="200"/>
              <w:pStyle w:val="ImageCaption"/>
            </w:pPr>
            <w:r>
              <w:t xml:space="preserve">Figura 5: Coeficiente DiD (Ola 4 × Indígena × Zona) con y sin mediadores rezagados. IC 95%. Rojo = sin mediador, azul = con mediador.</w:t>
            </w:r>
          </w:p>
          <w:bookmarkEnd w:id="87"/>
        </w:tc>
      </w:tr>
    </w:tbl>
    <w:p>
      <w:pPr>
        <w:pStyle w:val="BodyText"/>
      </w:pPr>
      <w:r>
        <w:t xml:space="preserve">La tabla completa de modelos de mecanismo (9 especificaciones) se presenta en</w:t>
      </w:r>
      <w:r>
        <w:t xml:space="preserve"> </w:t>
      </w:r>
      <w:hyperlink w:anchor="tbl-apendice-mecanismo">
        <w:r>
          <w:rPr>
            <w:rStyle w:val="Hyperlink"/>
          </w:rPr>
          <w:t xml:space="preserve">Tabla 18</w:t>
        </w:r>
      </w:hyperlink>
      <w:r>
        <w:t xml:space="preserve">.</w:t>
      </w:r>
    </w:p>
    <w:bookmarkEnd w:id="88"/>
    <w:bookmarkStart w:id="94" w:name="sec-res-hetero"/>
    <w:p>
      <w:pPr>
        <w:pStyle w:val="Heading2"/>
      </w:pPr>
      <w:r>
        <w:t xml:space="preserve">5.5 Heterogeneidad identitaria</w:t>
      </w:r>
    </w:p>
    <w:p>
      <w:pPr>
        <w:pStyle w:val="FirstParagraph"/>
      </w:pPr>
      <w:r>
        <w:t xml:space="preserve">Para explorar si el efecto del decreto está condicionado por la intensidad identitaria, se construyó un índice de predominancia identitaria (identidad étnica − identidad nacional) fijado en baseline (ola 2) para evitar sesgo de post-tratamiento. Los indígenas de la muestra presentan identidad dual con leve predominancia nacional (brecha = -0,34), y las trayectorias de predominancia no varían significativamente por zona de excepción, lo que reduce el riesgo de contaminación temporal.</w:t>
      </w:r>
    </w:p>
    <w:p>
      <w:pPr>
        <w:pStyle w:val="BodyText"/>
      </w:pPr>
      <w:r>
        <w:t xml:space="preserve">Al dividir la muestra en terciles de predominancia, el efecto DiD sobre violencia de control social muestra un patrón no monótono: significativo y positivo entre quienes tienen predominancia clara — sea nacional o étnica — y significativo pero negativo entre quienes tienen identidad equilibrada. Este patrón sugiere que la ambivalencia identitaria opera como amortiguador contra la legitimación de la coerción institucionalizada: las personas capaces de mantener ambas identidades simultáneamente resisten la polarización actitudinal que la predominancia clara facilita.</w:t>
      </w:r>
    </w:p>
    <w:p>
      <w:pPr>
        <w:pStyle w:val="BodyText"/>
      </w:pPr>
      <w:r>
        <w:t xml:space="preserve">Para violencia de cambio social, el efecto DiD solo es significativo en el tercil de predominancia nacional. Quienes tienen predominancia étnica no aumentan significativamente la justificación de la resistencia — lo que sugiere que la identidad étnica fuerte no requiere refuerzo del decreto para justificar la resistencia, pues ya la justificaban desde antes.</w:t>
      </w:r>
    </w:p>
    <w:p>
      <w:pPr>
        <w:pStyle w:val="BodyText"/>
      </w:pPr>
      <w:r>
        <w:t xml:space="preserve">La interacción cuádruple continua (DiD × predominancia) no es significativa, indicando que la relación no es lineal. Notablemente, la predominancia identitaria sí condicionó la respuesta al estallido (ola 3) pero no al decreto (ola 4), lo que sugiere que el estallido fue un fenómeno identitariamente diferenciado mientras que el decreto operó primariamente por proximidad territorial.</w:t>
      </w:r>
    </w:p>
    <w:tbl>
      <w:tblPr>
        <w:tblStyle w:val="Table"/>
        <w:tblW w:type="pct" w:w="5000"/>
        <w:tblLayout w:type="fixed"/>
        <w:tblLook w:firstRow="0" w:lastRow="0" w:firstColumn="0" w:lastColumn="0" w:noHBand="0" w:noVBand="0" w:val="0000"/>
      </w:tblPr>
      <w:tblGrid>
        <w:gridCol w:w="7920"/>
      </w:tblGrid>
      <w:tr>
        <w:tc>
          <w:tcPr/>
          <w:bookmarkStart w:id="92" w:name="fig-identidad-inout"/>
          <w:p>
            <w:pPr>
              <w:pStyle w:val="Compact"/>
              <w:jc w:val="center"/>
            </w:pPr>
            <w:r>
              <w:drawing>
                <wp:inline>
                  <wp:extent cx="5334000" cy="2667000"/>
                  <wp:effectExtent b="0" l="0" r="0" t="0"/>
                  <wp:docPr descr="" title="" id="90" name="Picture"/>
                  <a:graphic>
                    <a:graphicData uri="http://schemas.openxmlformats.org/drawingml/2006/picture">
                      <pic:pic>
                        <pic:nvPicPr>
                          <pic:cNvPr descr="../output/figuras/fig_identidad_ingroup_outgroup.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6: Identidad ingroup vs. outgroup por grupo y zona. IC 95%.</w:t>
            </w:r>
          </w:p>
          <w:bookmarkEnd w:id="92"/>
        </w:tc>
      </w:tr>
    </w:tbl>
    <w:tbl>
      <w:tblPr>
        <w:tblStyle w:val="Table"/>
        <w:tblW w:type="pct" w:w="5000"/>
        <w:tblLayout w:type="fixed"/>
        <w:tblLook w:firstRow="0" w:lastRow="0" w:firstColumn="0" w:lastColumn="0" w:noHBand="0" w:noVBand="0" w:val="0000"/>
      </w:tblPr>
      <w:tblGrid>
        <w:gridCol w:w="7920"/>
      </w:tblGrid>
      <w:tr>
        <w:tc>
          <w:tcPr/>
          <w:bookmarkStart w:id="93" w:name="tbl-hetero-terciles"/>
          <w:p>
            <w:pPr>
              <w:jc w:val="center"/>
            </w:pPr>
            <w:pPr>
              <w:jc w:val="start"/>
              <w:spacing w:before="200"/>
              <w:pStyle w:val="ImageCaption"/>
            </w:pPr>
            <w:r>
              <w:t xml:space="preserve">Tabla 8: Efecto DiD (Modelo C) por tercil de predominancia identitaria baseline (ola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4"/>
              <w:gridCol w:w="1044"/>
              <w:gridCol w:w="1215"/>
              <w:gridCol w:w="1155"/>
              <w:gridCol w:w="1455"/>
              <w:gridCol w:w="2120"/>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tercil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beta_p</w:t>
                  </w:r>
                </w:p>
              </w:tc>
            </w:tr>
            <w:tr>
              <w:trPr>
                <w:trHeight w:val="4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Nacional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2.3517688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0.6914694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0.0007254196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2,352, *p* = &lt; .001</w:t>
                  </w:r>
                </w:p>
              </w:tc>
            </w:tr>
            <w:tr>
              <w:trPr>
                <w:trHeight w:val="4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Equilibrio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-2.0405038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0.7872308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0.0097808748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-2,041, *p* = ,010</w:t>
                  </w:r>
                </w:p>
              </w:tc>
            </w:tr>
            <w:tr>
              <w:trPr>
                <w:trHeight w:val="47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Étnica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1.5554640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0.5781834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0.0073440232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1,555, *p* = ,007</w:t>
                  </w:r>
                </w:p>
              </w:tc>
            </w:tr>
            <w:tr>
              <w:trPr>
                <w:trHeight w:val="472"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Nacional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1.9541561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0.6976205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0.0052842431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1,954, *p* = ,005</w:t>
                  </w:r>
                </w:p>
              </w:tc>
            </w:tr>
            <w:tr>
              <w:trPr>
                <w:trHeight w:val="47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Equilibrio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0.7238560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0.8262296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0.3813324601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0,724, *p* = ,381</w:t>
                  </w:r>
                </w:p>
              </w:tc>
            </w:tr>
            <w:tr>
              <w:trPr>
                <w:trHeight w:val="472"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Étnica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0.3840861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0.6722544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0.5679978559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0,384, *p* = ,568</w:t>
                  </w:r>
                </w:p>
              </w:tc>
            </w:tr>
          </w:tbl>
          <w:bookmarkEnd w:id="93"/>
        </w:tc>
      </w:tr>
    </w:tbl>
    <w:bookmarkEnd w:id="94"/>
    <w:bookmarkStart w:id="100" w:name="sec-res-pleb"/>
    <w:p>
      <w:pPr>
        <w:pStyle w:val="Heading2"/>
      </w:pPr>
      <w:r>
        <w:t xml:space="preserve">5.6 Plebiscito 2022</w:t>
      </w:r>
    </w:p>
    <w:p>
      <w:pPr>
        <w:pStyle w:val="FirstParagraph"/>
      </w:pPr>
      <w:hyperlink w:anchor="tbl-plebiscito">
        <w:r>
          <w:rPr>
            <w:rStyle w:val="Hyperlink"/>
          </w:rPr>
          <w:t xml:space="preserve">Tabla 9</w:t>
        </w:r>
      </w:hyperlink>
      <w:r>
        <w:t xml:space="preserve"> </w:t>
      </w:r>
      <w:r>
        <w:t xml:space="preserve">resume los modelos logísticos (detalle en</w:t>
      </w:r>
      <w:r>
        <w:t xml:space="preserve"> </w:t>
      </w:r>
      <w:hyperlink w:anchor="tbl-apendice-pleb">
        <w:r>
          <w:rPr>
            <w:rStyle w:val="Hyperlink"/>
          </w:rPr>
          <w:t xml:space="preserve">Tabla 11</w:t>
        </w:r>
      </w:hyperlink>
      <w:r>
        <w:t xml:space="preserve">). Entre quienes votaron, la justificación de violencia de</w:t>
      </w:r>
      <w:r>
        <w:t xml:space="preserve"> </w:t>
      </w:r>
      <w:r>
        <w:rPr>
          <w:b/>
          <w:bCs/>
        </w:rPr>
        <w:t xml:space="preserve">control</w:t>
      </w:r>
      <w:r>
        <w:t xml:space="preserve"> </w:t>
      </w:r>
      <w:r>
        <w:t xml:space="preserve">se asocia positivamente con el voto Rechazo; la de</w:t>
      </w:r>
      <w:r>
        <w:t xml:space="preserve"> </w:t>
      </w:r>
      <w:r>
        <w:rPr>
          <w:b/>
          <w:bCs/>
        </w:rPr>
        <w:t xml:space="preserve">resguardo</w:t>
      </w:r>
      <w:r>
        <w:t xml:space="preserve">, negativamente. La</w:t>
      </w:r>
      <w:r>
        <w:t xml:space="preserve"> </w:t>
      </w:r>
      <w:r>
        <w:rPr>
          <w:b/>
          <w:bCs/>
        </w:rPr>
        <w:t xml:space="preserve">zona de excepción</w:t>
      </w:r>
      <w:r>
        <w:t xml:space="preserve"> </w:t>
      </w:r>
      <w:r>
        <w:t xml:space="preserve">aumenta las odds de participar y de votar Rechazo; la identidad étnica no predice directamente el voto una vez incluidas actitudes y justicia procedimental. El patrón es compatible con un</w:t>
      </w:r>
      <w:r>
        <w:t xml:space="preserve"> </w:t>
      </w:r>
      <w:r>
        <w:rPr>
          <w:b/>
          <w:bCs/>
        </w:rPr>
        <w:t xml:space="preserve">canal actitudinal</w:t>
      </w:r>
      <w:r>
        <w:t xml:space="preserve"> </w:t>
      </w:r>
      <w:r>
        <w:t xml:space="preserve">(estado de excepción → actitudes → voto), no con un efecto directo de identidad o territorio sobre la preferencia electoral.</w:t>
      </w:r>
    </w:p>
    <w:tbl>
      <w:tblPr>
        <w:tblStyle w:val="Table"/>
        <w:tblW w:type="pct" w:w="5000"/>
        <w:tblLayout w:type="fixed"/>
        <w:tblLook w:firstRow="0" w:lastRow="0" w:firstColumn="0" w:lastColumn="0" w:noHBand="0" w:noVBand="0" w:val="0000"/>
      </w:tblPr>
      <w:tblGrid>
        <w:gridCol w:w="7920"/>
      </w:tblGrid>
      <w:tr>
        <w:tc>
          <w:tcPr/>
          <w:bookmarkStart w:id="95" w:name="tbl-plebiscito"/>
          <w:p>
            <w:pPr>
              <w:jc w:val="center"/>
            </w:pPr>
            <w:pPr>
              <w:jc w:val="start"/>
              <w:spacing w:before="200"/>
              <w:pStyle w:val="ImageCaption"/>
            </w:pPr>
            <w:r>
              <w:t xml:space="preserve">Tabla 9: Modelos logísticos de participación y voto en el plebiscito constitucional de 2022 (ola 4). Odds ratios con errores estándar entre paréntesis.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1"/>
              <w:gridCol w:w="1080"/>
              <w:gridCol w:w="1435"/>
              <w:gridCol w:w="1435"/>
            </w:tblGrid>
            <w:tr>
              <w:trPr>
                <w:trHeight w:val="642"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Participó</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(votó)</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Voto Rechazo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(vs. resto)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Voto Rechazo</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(vs. Apruebo)</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1.201</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(1.043)</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2.838***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(0.806)</w:t>
                  </w:r>
                </w:p>
              </w:tc>
            </w:tr>
            <w:tr>
              <w:trPr>
                <w:trHeight w:val="4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0.700*</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1.426</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(1.061)</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2.398</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(1.788)</w:t>
                  </w:r>
                </w:p>
              </w:tc>
            </w:tr>
            <w:tr>
              <w:trPr>
                <w:trHeight w:val="45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1.220</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(0.897)</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1.579</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(1.164)</w:t>
                  </w:r>
                </w:p>
              </w:tc>
            </w:tr>
            <w:tr>
              <w:trPr>
                <w:trHeight w:val="43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1.509</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(1.103)</w:t>
                  </w:r>
                </w:p>
              </w:tc>
            </w:tr>
            <w:tr>
              <w:trPr>
                <w:trHeight w:val="439"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1.291***</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39"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0.791***</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r>
            <w:tr>
              <w:trPr>
                <w:trHeight w:val="47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procedimental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1.162+</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r>
            <w:tr>
              <w:trPr>
                <w:trHeight w:val="472"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0.796***</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r>
            <w:tr>
              <w:trPr>
                <w:trHeight w:val="44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1.117</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r>
            <w:tr>
              <w:trPr>
                <w:trHeight w:val="47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0.834*</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6"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0.593</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(0.206)</w:t>
                  </w:r>
                </w:p>
              </w:tc>
            </w:tr>
            <w:tr>
              <w:trPr>
                <w:trHeight w:val="43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 observaciones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961</w:t>
                  </w:r>
                </w:p>
              </w:tc>
            </w:tr>
            <w:tr>
              <w:trPr>
                <w:trHeight w:val="440" w:hRule="auto"/>
              </w:trPr>
              body34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1170.8</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r>
              <w:trPr>
                <w:trHeight w:val="360" w:hRule="auto"/>
              </w:trPr>
              footer 2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Odds ratios. + p&lt;.1, * p&lt;.05, ** p&lt;.01, *** p&lt;.001. Solo ola 4.</w:t>
                  </w:r>
                </w:p>
              </w:tc>
            </w:tr>
          </w:tbl>
          <w:bookmarkEnd w:id="95"/>
        </w:tc>
      </w:tr>
    </w:tbl>
    <w:p>
      <w:pPr>
        <w:pStyle w:val="BodyText"/>
      </w:pPr>
      <w:hyperlink w:anchor="fig-rechazo">
        <w:r>
          <w:rPr>
            <w:rStyle w:val="Hyperlink"/>
          </w:rPr>
          <w:t xml:space="preserve">Figura 7</w:t>
        </w:r>
      </w:hyperlink>
      <w:r>
        <w:t xml:space="preserve"> </w:t>
      </w:r>
      <w:r>
        <w:t xml:space="preserve">muestra las probabilidades predichas de voto Rechazo por identidad y zona. Las diferencias entre grupos son modestes una vez controladas las actitudes, lo que es compatible con un posible canal actitudinal entre experiencia territorial del conflicto y comportamiento electoral.</w:t>
      </w:r>
    </w:p>
    <w:tbl>
      <w:tblPr>
        <w:tblStyle w:val="Table"/>
        <w:tblW w:type="pct" w:w="5000"/>
        <w:tblLayout w:type="fixed"/>
        <w:tblLook w:firstRow="0" w:lastRow="0" w:firstColumn="0" w:lastColumn="0" w:noHBand="0" w:noVBand="0" w:val="0000"/>
      </w:tblPr>
      <w:tblGrid>
        <w:gridCol w:w="7920"/>
      </w:tblGrid>
      <w:tr>
        <w:tc>
          <w:tcPr/>
          <w:bookmarkStart w:id="99" w:name="fig-rechazo"/>
          <w:p>
            <w:pPr>
              <w:pStyle w:val="Compact"/>
              <w:jc w:val="center"/>
            </w:pPr>
            <w:r>
              <w:drawing>
                <wp:inline>
                  <wp:extent cx="4267200" cy="3048000"/>
                  <wp:effectExtent b="0" l="0" r="0" t="0"/>
                  <wp:docPr descr="" title="" id="97" name="Picture"/>
                  <a:graphic>
                    <a:graphicData uri="http://schemas.openxmlformats.org/drawingml/2006/picture">
                      <pic:pic>
                        <pic:nvPicPr>
                          <pic:cNvPr descr="../output/figuras/fig_prob_rechazo.png" id="98" name="Picture"/>
                          <pic:cNvPicPr>
                            <a:picLocks noChangeArrowheads="1" noChangeAspect="1"/>
                          </pic:cNvPicPr>
                        </pic:nvPicPr>
                        <pic:blipFill>
                          <a:blip r:embed="rId96"/>
                          <a:stretch>
                            <a:fillRect/>
                          </a:stretch>
                        </pic:blipFill>
                        <pic:spPr bwMode="auto">
                          <a:xfrm>
                            <a:off x="0" y="0"/>
                            <a:ext cx="42672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Figura 7: Probabilidades predichas de voto Rechazo por identidad étnica y zona de residencia (plebiscito septiembre 2022). Intervalos de confianza al 95 %; resto de variables en sus medias.</w:t>
            </w:r>
          </w:p>
          <w:bookmarkEnd w:id="99"/>
        </w:tc>
      </w:tr>
    </w:tbl>
    <w:p>
      <w:pPr>
        <w:pStyle w:val="BodyText"/>
      </w:pPr>
      <w:r>
        <w:t xml:space="preserve">Los análisis de robustez (PSM, IPW, placebo pretratamiento, modelos por ítem y codificación ordinal) se reportan en el</w:t>
      </w:r>
      <w:r>
        <w:t xml:space="preserve"> </w:t>
      </w:r>
      <w:hyperlink w:anchor="sec-apendice-robustez">
        <w:r>
          <w:rPr>
            <w:rStyle w:val="Hyperlink"/>
          </w:rPr>
          <w:t xml:space="preserve">Sección 9.3</w:t>
        </w:r>
      </w:hyperlink>
      <w:r>
        <w:t xml:space="preserve">.</w:t>
      </w:r>
    </w:p>
    <w:bookmarkEnd w:id="100"/>
    <w:bookmarkEnd w:id="101"/>
    <w:bookmarkStart w:id="107" w:name="sec-discusion"/>
    <w:p>
      <w:pPr>
        <w:pStyle w:val="Heading1"/>
      </w:pPr>
      <w:r>
        <w:t xml:space="preserve">6. Discusión</w:t>
      </w:r>
    </w:p>
    <w:bookmarkStart w:id="102" w:name="sec-disc-apertura"/>
    <w:p>
      <w:pPr>
        <w:pStyle w:val="Heading2"/>
      </w:pPr>
      <w:r>
        <w:t xml:space="preserve">6.1 Apertura normativa y contención fallida</w:t>
      </w:r>
    </w:p>
    <w:p>
      <w:pPr>
        <w:pStyle w:val="FirstParagraph"/>
      </w:pPr>
      <w:r>
        <w:t xml:space="preserve">Los resultados muestran que el estallido social de 2019 y el estado de excepción de 2021 constituyen dos momentos de un mismo proceso con efectos opuestos y complementarios. El estallido abrió una ventana normativa: la justificación de la violencia de cambio social subió para toda la muestra, sin diferencias por identidad ni territorio. El decreto del estado de excepción intentó cerrar esa ventana mediante coerción institucionalizada, y parcialmente lo logró: para la muestra en conjunto, la justificación de cambio social bajó entre olas 3 y 4. Pero entre los indígenas en zona de excepción — los más directamente expuestos a la coerción — el efecto fue inverso. El decreto no solo no cerró la puerta que el estallido abrió, sino que la profundizó: la triple interacción DiD es significativa y positiva para ambos tipos de violencia.</w:t>
      </w:r>
    </w:p>
    <w:p>
      <w:pPr>
        <w:pStyle w:val="BodyText"/>
      </w:pPr>
      <w:r>
        <w:t xml:space="preserve">Este hallazgo no es reducible a ninguno de los marcos teóricos tomado aisladamente. El marco de ciclo de protesta</w:t>
      </w:r>
      <w:r>
        <w:t xml:space="preserve"> </w:t>
      </w:r>
      <w:r>
        <w:t xml:space="preserve">(</w:t>
      </w:r>
      <w:r>
        <w:rPr>
          <w:b/>
          <w:bCs/>
        </w:rPr>
        <w:t xml:space="preserve">tarrow1994?</w:t>
      </w:r>
      <w:r>
        <w:t xml:space="preserve">)</w:t>
      </w:r>
      <w:r>
        <w:t xml:space="preserve"> </w:t>
      </w:r>
      <w:r>
        <w:t xml:space="preserve">predice correctamente la caída general de cambio social en ola 4, pero no explica por qué sube entre los más afectados. El marco de sedimentación coercitiva</w:t>
      </w:r>
      <w:r>
        <w:t xml:space="preserve"> </w:t>
      </w:r>
      <w:r>
        <w:t xml:space="preserve">(Davenport, 2007)</w:t>
      </w:r>
      <w:r>
        <w:t xml:space="preserve"> </w:t>
      </w:r>
      <w:r>
        <w:t xml:space="preserve">predice el aumento de control social, pero no explica por qué también sube cambio social. La demanda dual — más orden y más resistencia simultáneamente — solo emerge como resultado lógico de la secuencia apertura → contención fallida, donde la coerción produce aquiescencia procedimental por una vía y radicalización por otra.</w:t>
      </w:r>
    </w:p>
    <w:bookmarkEnd w:id="102"/>
    <w:bookmarkStart w:id="103" w:name="sec-disc-mecanismo"/>
    <w:p>
      <w:pPr>
        <w:pStyle w:val="Heading2"/>
      </w:pPr>
      <w:r>
        <w:t xml:space="preserve">6.2 Regularización, no benevolencia: Tyler revisitado</w:t>
      </w:r>
    </w:p>
    <w:p>
      <w:pPr>
        <w:pStyle w:val="FirstParagraph"/>
      </w:pPr>
      <w:r>
        <w:t xml:space="preserve">El hallazgo más contraintuitivo del análisis es que el estado de excepción se asoció con una mejora en la percepción de justicia procedimental ingroup entre indígenas en zona de excepción (β = 0,750,</w:t>
      </w:r>
      <w:r>
        <w:t xml:space="preserve"> </w:t>
      </w:r>
      <w:r>
        <w:rPr>
          <w:i/>
          <w:iCs/>
        </w:rPr>
        <w:t xml:space="preserve">p</w:t>
      </w:r>
      <w:r>
        <w:t xml:space="preserve"> </w:t>
      </w:r>
      <w:r>
        <w:t xml:space="preserve">= ,034). Esto contrasta con la predicción directa de Disi Pavlic et al. (2024), quienes proponen que la represión deteriora la justicia procedimental como mecanismo del backlash. La clave está en la diferencia entre represión puntual e institucionalizada: el estallido fue caótico y reactivo, mientras que el decreto fue predecible e institucional. Tyler (1990) distingue entre el resultado de la interacción y el procedimiento: las personas pueden aceptar resultados desfavorables si perciben que el procedimiento fue justo. La regularización del control territorial no implica mejor trato en términos absolutos, sino trato más consistente y predecible.</w:t>
      </w:r>
    </w:p>
    <w:p>
      <w:pPr>
        <w:pStyle w:val="BodyText"/>
      </w:pPr>
      <w:r>
        <w:t xml:space="preserve">La mediación asimétrica confirma que el mecanismo opera en direcciones opuestas según el tipo de violencia. Para la violencia de control social, la regularización procedimental genera aquiescencia: la mejora en la percepción de trato legítimo al propio grupo facilita la aceptación del uso de la fuerza estatal (atenuación del 25 %). Para la violencia de cambio social, la regularización suprime parte del efecto: sin la mejora procedimental, la justificación de la resistencia sería aún mayor (supresión del -22 %). Lo observado en el DiD es el efecto neto de dos fuerzas opuestas.</w:t>
      </w:r>
    </w:p>
    <w:bookmarkEnd w:id="103"/>
    <w:bookmarkStart w:id="104" w:name="sec-disc-identidad"/>
    <w:p>
      <w:pPr>
        <w:pStyle w:val="Heading2"/>
      </w:pPr>
      <w:r>
        <w:t xml:space="preserve">6.3 Identidad dual como amortiguador</w:t>
      </w:r>
    </w:p>
    <w:p>
      <w:pPr>
        <w:pStyle w:val="FirstParagraph"/>
      </w:pPr>
      <w:r>
        <w:t xml:space="preserve">La heterogeneidad por predominancia identitaria añade una dimensión inesperada al análisis. El patrón no monótono — efectos fuertes entre quienes tienen predominancia clara (sea nacional o étnica) y efecto invertido entre quienes tienen identidad equilibrada — sugiere que la identidad dual opera como amortiguador contra la polarización actitudinal. Este hallazgo conecta con la literatura de identidades duales en contextos postcoloniales: la capacidad de mantener ambas identidades simultáneamente previene la dinámica de</w:t>
      </w:r>
      <w:r>
        <w:t xml:space="preserve"> </w:t>
      </w:r>
      <w:r>
        <w:t xml:space="preserve">“</w:t>
      </w:r>
      <w:r>
        <w:t xml:space="preserve">nosotros contra ellos</w:t>
      </w:r>
      <w:r>
        <w:t xml:space="preserve">”</w:t>
      </w:r>
      <w:r>
        <w:t xml:space="preserve"> </w:t>
      </w:r>
      <w:r>
        <w:t xml:space="preserve">que la coerción institucionalizada puede activar.</w:t>
      </w:r>
    </w:p>
    <w:p>
      <w:pPr>
        <w:pStyle w:val="BodyText"/>
      </w:pPr>
      <w:r>
        <w:t xml:space="preserve">Notablemente, la predominancia identitaria condicionó la respuesta al estallido pero no al decreto. El estallido fue un fenómeno de movilización identitariamente diferenciada, mientras que el decreto operó por proximidad territorial — afectó a todos los que vivían en la zona, independientemente de su perfil identitario.</w:t>
      </w:r>
    </w:p>
    <w:bookmarkEnd w:id="104"/>
    <w:bookmarkStart w:id="105" w:name="sec-disc-sit"/>
    <w:p>
      <w:pPr>
        <w:pStyle w:val="Heading2"/>
      </w:pPr>
      <w:r>
        <w:t xml:space="preserve">6.4 Implicaciones para la SIT</w:t>
      </w:r>
    </w:p>
    <w:p>
      <w:pPr>
        <w:pStyle w:val="FirstParagraph"/>
      </w:pPr>
      <w:r>
        <w:t xml:space="preserve">La simetría id_causa / id_chile replica mecanismos de identidad social en conflicto étnico latinoamericano</w:t>
      </w:r>
      <w:r>
        <w:t xml:space="preserve"> </w:t>
      </w:r>
      <w:r>
        <w:t xml:space="preserve">(Tajfel &amp; Turner, 1986)</w:t>
      </w:r>
      <w:r>
        <w:t xml:space="preserve">. La distinción entre tipos de violencia muestra que el aumento diferencial en ola 4 no se reduce a una narrativa unidimensional pro-Estado o pro-resistencia.</w:t>
      </w:r>
    </w:p>
    <w:bookmarkEnd w:id="105"/>
    <w:bookmarkStart w:id="106" w:name="sec-disc-voto"/>
    <w:p>
      <w:pPr>
        <w:pStyle w:val="Heading2"/>
      </w:pPr>
      <w:r>
        <w:t xml:space="preserve">6.5 Canal actitudinal hacia el voto</w:t>
      </w:r>
    </w:p>
    <w:p>
      <w:pPr>
        <w:pStyle w:val="FirstParagraph"/>
      </w:pPr>
      <w:r>
        <w:t xml:space="preserve">El plebiscito sugiere que el estado de excepción se vincula al voto Rechazo</w:t>
      </w:r>
      <w:r>
        <w:t xml:space="preserve"> </w:t>
      </w:r>
      <w:r>
        <w:rPr>
          <w:b/>
          <w:bCs/>
        </w:rPr>
        <w:t xml:space="preserve">a través</w:t>
      </w:r>
      <w:r>
        <w:t xml:space="preserve"> </w:t>
      </w:r>
      <w:r>
        <w:t xml:space="preserve">de actitudes hacia la violencia y la justicia procedimental, no directamente por identidad o zona</w:t>
      </w:r>
      <w:r>
        <w:t xml:space="preserve"> </w:t>
      </w:r>
      <w:r>
        <w:t xml:space="preserve">(Zaller, 1992)</w:t>
      </w:r>
      <w:r>
        <w:t xml:space="preserve">. El aumento paralelo en ambos tipos de violencia entre indígenas en zona de excepción en ola 4 refleja, probablemente, una</w:t>
      </w:r>
      <w:r>
        <w:t xml:space="preserve"> </w:t>
      </w:r>
      <w:r>
        <w:rPr>
          <w:b/>
          <w:bCs/>
        </w:rPr>
        <w:t xml:space="preserve">normalización situada</w:t>
      </w:r>
      <w:r>
        <w:t xml:space="preserve"> </w:t>
      </w:r>
      <w:r>
        <w:t xml:space="preserve">de la violencia como recurso legítimo bajo tensión prolongada, no apoyo simple a la represión.</w:t>
      </w:r>
    </w:p>
    <w:bookmarkEnd w:id="106"/>
    <w:bookmarkEnd w:id="107"/>
    <w:bookmarkStart w:id="108" w:name="sec-limitaciones"/>
    <w:p>
      <w:pPr>
        <w:pStyle w:val="Heading1"/>
      </w:pPr>
      <w:r>
        <w:t xml:space="preserve">7. Limitaciones</w:t>
      </w:r>
    </w:p>
    <w:p>
      <w:pPr>
        <w:pStyle w:val="Compact"/>
        <w:numPr>
          <w:ilvl w:val="0"/>
          <w:numId w:val="1004"/>
        </w:numPr>
      </w:pPr>
      <w:r>
        <w:rPr>
          <w:b/>
          <w:bCs/>
        </w:rPr>
        <w:t xml:space="preserve">Una sola ola pre-tratamiento estricta</w:t>
      </w:r>
      <w:r>
        <w:t xml:space="preserve"> </w:t>
      </w:r>
      <w:r>
        <w:t xml:space="preserve">(ola 2). Ola 3 es pre-decreto pero post-estallido, lo que impide un placebo limpio para el decreto como shock aislado.</w:t>
      </w:r>
    </w:p>
    <w:p>
      <w:pPr>
        <w:pStyle w:val="Compact"/>
        <w:numPr>
          <w:ilvl w:val="0"/>
          <w:numId w:val="1004"/>
        </w:numPr>
      </w:pPr>
      <w:r>
        <w:rPr>
          <w:b/>
          <w:bCs/>
        </w:rPr>
        <w:t xml:space="preserve">Tratamiento grueso</w:t>
      </w:r>
      <w:r>
        <w:t xml:space="preserve"> </w:t>
      </w:r>
      <w:r>
        <w:t xml:space="preserve">(comunas vs. buffers geométricos como en Disi Pavlic et al.).</w:t>
      </w:r>
    </w:p>
    <w:p>
      <w:pPr>
        <w:pStyle w:val="Compact"/>
        <w:numPr>
          <w:ilvl w:val="0"/>
          <w:numId w:val="1004"/>
        </w:numPr>
      </w:pPr>
      <w:r>
        <w:rPr>
          <w:b/>
          <w:bCs/>
        </w:rPr>
        <w:t xml:space="preserve">Attrition diferencial</w:t>
      </w:r>
      <w:r>
        <w:t xml:space="preserve"> </w:t>
      </w:r>
      <w:r>
        <w:t xml:space="preserve">entre olas.</w:t>
      </w:r>
    </w:p>
    <w:p>
      <w:pPr>
        <w:pStyle w:val="Compact"/>
        <w:numPr>
          <w:ilvl w:val="0"/>
          <w:numId w:val="1004"/>
        </w:numPr>
      </w:pPr>
      <w:r>
        <w:rPr>
          <w:b/>
          <w:bCs/>
        </w:rPr>
        <w:t xml:space="preserve">Mediación aproximada</w:t>
      </w:r>
      <w:r>
        <w:t xml:space="preserve">, no identificada causalmente. Precedencia temporal imperfecta cuando mediador y VD comparten ola.</w:t>
      </w:r>
    </w:p>
    <w:p>
      <w:pPr>
        <w:pStyle w:val="Compact"/>
        <w:numPr>
          <w:ilvl w:val="0"/>
          <w:numId w:val="1004"/>
        </w:numPr>
      </w:pPr>
      <w:r>
        <w:rPr>
          <w:b/>
          <w:bCs/>
        </w:rPr>
        <w:t xml:space="preserve">SUTVA</w:t>
      </w:r>
      <w:r>
        <w:t xml:space="preserve">: difusión mediática fuera de zona de excepción.</w:t>
      </w:r>
    </w:p>
    <w:p>
      <w:pPr>
        <w:pStyle w:val="Compact"/>
        <w:numPr>
          <w:ilvl w:val="0"/>
          <w:numId w:val="1004"/>
        </w:numPr>
      </w:pPr>
      <w:r>
        <w:t xml:space="preserve">Controles actitudinales posiblemente</w:t>
      </w:r>
      <w:r>
        <w:t xml:space="preserve"> </w:t>
      </w:r>
      <w:r>
        <w:rPr>
          <w:b/>
          <w:bCs/>
        </w:rPr>
        <w:t xml:space="preserve">post-tratamiento</w:t>
      </w:r>
      <w:r>
        <w:t xml:space="preserve">.</w:t>
      </w:r>
    </w:p>
    <w:p>
      <w:pPr>
        <w:pStyle w:val="Compact"/>
        <w:numPr>
          <w:ilvl w:val="0"/>
          <w:numId w:val="1004"/>
        </w:numPr>
      </w:pPr>
      <w:r>
        <w:t xml:space="preserve">La mejora en justicia procedimental ingroup puede reflejar</w:t>
      </w:r>
      <w:r>
        <w:t xml:space="preserve"> </w:t>
      </w:r>
      <w:r>
        <w:rPr>
          <w:b/>
          <w:bCs/>
        </w:rPr>
        <w:t xml:space="preserve">sesgo de supervivencia</w:t>
      </w:r>
      <w:r>
        <w:t xml:space="preserve">: quienes perciben peor trato pueden haber migrado fuera de la zona entre olas 3 y 4.</w:t>
      </w:r>
    </w:p>
    <w:p>
      <w:pPr>
        <w:pStyle w:val="Compact"/>
        <w:numPr>
          <w:ilvl w:val="0"/>
          <w:numId w:val="1004"/>
        </w:numPr>
      </w:pPr>
      <w:r>
        <w:t xml:space="preserve">La</w:t>
      </w:r>
      <w:r>
        <w:t xml:space="preserve"> </w:t>
      </w:r>
      <w:r>
        <w:rPr>
          <w:b/>
          <w:bCs/>
        </w:rPr>
        <w:t xml:space="preserve">heterogeneidad por terciles</w:t>
      </w:r>
      <w:r>
        <w:t xml:space="preserve"> </w:t>
      </w:r>
      <w:r>
        <w:t xml:space="preserve">es exploratoria y el</w:t>
      </w:r>
      <w:r>
        <w:t xml:space="preserve"> </w:t>
      </w:r>
      <w:r>
        <w:rPr>
          <w:i/>
          <w:iCs/>
        </w:rPr>
        <w:t xml:space="preserve">N</w:t>
      </w:r>
      <w:r>
        <w:t xml:space="preserve"> </w:t>
      </w:r>
      <w:r>
        <w:t xml:space="preserve">por subgrupo es reducido; interpretar con cautela.</w:t>
      </w:r>
    </w:p>
    <w:p>
      <w:pPr>
        <w:pStyle w:val="Compact"/>
        <w:numPr>
          <w:ilvl w:val="0"/>
          <w:numId w:val="1004"/>
        </w:numPr>
      </w:pPr>
      <w:r>
        <w:t xml:space="preserve">La medición de la justificación de represión estatal se apoya en un único ítem (d3_1), lo que limita la estimación de consistencia interna. Análisis de sensibilidad con ambos ítems combinados (Apéndice A7,</w:t>
      </w:r>
      <w:r>
        <w:t xml:space="preserve"> </w:t>
      </w:r>
      <w:hyperlink w:anchor="sec-apendice-a7">
        <w:r>
          <w:rPr>
            <w:rStyle w:val="Hyperlink"/>
          </w:rPr>
          <w:t xml:space="preserve">Sección 9.5</w:t>
        </w:r>
      </w:hyperlink>
      <w:r>
        <w:t xml:space="preserve">) muestran resultados consistentes en dirección.</w:t>
      </w:r>
    </w:p>
    <w:bookmarkEnd w:id="108"/>
    <w:bookmarkStart w:id="109" w:name="sec-conclusiones"/>
    <w:p>
      <w:pPr>
        <w:pStyle w:val="Heading1"/>
      </w:pPr>
      <w:r>
        <w:t xml:space="preserve">8. Conclusiones</w:t>
      </w:r>
    </w:p>
    <w:p>
      <w:pPr>
        <w:pStyle w:val="FirstParagraph"/>
      </w:pPr>
      <w:r>
        <w:t xml:space="preserve">La coerción institucionalizada del estado de excepción no logró contener la apertura normativa que el estallido social produjo entre quienes la experimentan directamente. El hallazgo central del paper es una demanda dual paradójica: las personas indígenas en zona de excepción aumentaron simultáneamente la justificación de la violencia de control social y de cambio social, configurando una respuesta actitudinal que no es reducible a polarización unidimensional ni a apoyo simple a la represión.</w:t>
      </w:r>
    </w:p>
    <w:p>
      <w:pPr>
        <w:pStyle w:val="BodyText"/>
      </w:pPr>
      <w:r>
        <w:t xml:space="preserve">El mecanismo que media esta demanda dual opera por una vía inesperada: la institucionalización de la coerción regularizó las interacciones con las fuerzas del Estado, mejorando la percepción de justicia procedimental ingroup. Esta regularización — no benevolencia, sino predecibilidad — legitimó la violencia de control (mediación del 25 %), pero no suprimió la resistencia territorial (supresión del -22 % indica que el efecto directo de la coerción es más fuerte que el efecto amortiguador de la regularización).</w:t>
      </w:r>
    </w:p>
    <w:p>
      <w:pPr>
        <w:pStyle w:val="BodyText"/>
      </w:pPr>
      <w:r>
        <w:t xml:space="preserve">Las implicaciones para la política pública son directas: el estado de excepción tiene costos actitudinales bidireccionales que no se resuelven con el fin formal de la medida. Las identidades duales — mapuche y chileno simultáneamente — operan como amortiguador contra esta dinámica, lo que sugiere que las políticas de reconocimiento que fortalecen la identidad dual podrían ser más efectivas que las que refuerzan una identidad excluyente. La agenda futura incluye análisis con buffers geométricos, mediación formal con diseños de variables instrumentales, y extensión a otros contextos de estados de excepción en América Latina.</w:t>
      </w:r>
    </w:p>
    <w:p>
      <w:r>
        <w:br w:type="page"/>
      </w:r>
    </w:p>
    <w:bookmarkEnd w:id="109"/>
    <w:bookmarkStart w:id="159" w:name="sec-apendice"/>
    <w:p>
      <w:pPr>
        <w:pStyle w:val="Heading1"/>
      </w:pPr>
      <w:r>
        <w:t xml:space="preserve">9. Apéndice</w:t>
      </w:r>
    </w:p>
    <w:bookmarkStart w:id="111" w:name="tbl-apendice-m1m2"/>
    <w:p>
      <w:pPr>
        <w:pStyle w:val="Heading2"/>
      </w:pPr>
      <w:r>
        <w:t xml:space="preserve">9.1 Tabla A1 — Modelos A, B y C (apéndice)</w:t>
      </w:r>
    </w:p>
    <w:tbl>
      <w:tblPr>
        <w:tblStyle w:val="Table"/>
        <w:tblW w:type="pct" w:w="5000"/>
        <w:tblLayout w:type="fixed"/>
        <w:tblLook w:firstRow="0" w:lastRow="0" w:firstColumn="0" w:lastColumn="0" w:noHBand="0" w:noVBand="0" w:val="0000"/>
      </w:tblPr>
      <w:tblGrid>
        <w:gridCol w:w="7920"/>
      </w:tblGrid>
      <w:tr>
        <w:tc>
          <w:tcPr/>
          <w:bookmarkStart w:id="110" w:name="tbl-apendice-m1m2"/>
          <w:p>
            <w:pPr>
              <w:jc w:val="center"/>
            </w:pPr>
            <w:pPr>
              <w:jc w:val="start"/>
              <w:spacing w:before="200"/>
              <w:pStyle w:val="ImageCaption"/>
            </w:pPr>
            <w:r>
              <w:t xml:space="preserve">Tabla 10: Modelos por transición (A/B) y tres períodos (C). Sincronizado con tabla_apendice_m1_m2.html.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266"/>
              <w:gridCol w:w="1834"/>
              <w:gridCol w:w="2175"/>
              <w:gridCol w:w="1784"/>
              <w:gridCol w:w="2124"/>
              <w:gridCol w:w="2274"/>
              <w:gridCol w:w="2615"/>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Estallido (A)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Estallido (A)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Decreto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Decreto (B)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Tres períodos (C)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 Tres períodos (C)</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1.567***</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r>
            <w:tr>
              <w:trPr>
                <w:trHeight w:val="45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r>
            <w:tr>
              <w:trPr>
                <w:trHeight w:val="47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-0.372*</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r>
            <w:tr>
              <w:trPr>
                <w:trHeight w:val="47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(0.056)</w:t>
                  </w:r>
                </w:p>
              </w:tc>
            </w:tr>
            <w:tr>
              <w:trPr>
                <w:trHeight w:val="45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edad25_34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-0.066</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r>
            <w:tr>
              <w:trPr>
                <w:trHeight w:val="45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edad35_44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r>
            <w:tr>
              <w:trPr>
                <w:trHeight w:val="45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edad45_54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-0.130</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(0.150)</w:t>
                  </w:r>
                </w:p>
              </w:tc>
            </w:tr>
            <w:tr>
              <w:trPr>
                <w:trHeight w:val="45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edad55_64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-0.104</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r>
            <w:tr>
              <w:trPr>
                <w:trHeight w:val="43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edad65+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-0.166</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r>
            <w:tr>
              <w:trPr>
                <w:trHeight w:val="45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urbano_rural2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-0.015</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r>
            <w:tr>
              <w:trPr>
                <w:trHeight w:val="44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0.044</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r>
            <w:tr>
              <w:trPr>
                <w:trHeight w:val="47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(0.035)</w:t>
                  </w:r>
                </w:p>
              </w:tc>
            </w:tr>
            <w:tr>
              <w:trPr>
                <w:trHeight w:val="473"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T1_estallido:indigeneousindi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-0.148</w:t>
                  </w:r>
                </w:p>
              </w:tc>
            </w:tr>
            <w:tr>
              <w:trPr>
                <w:trHeight w:val="472"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(0.222)</w:t>
                  </w:r>
                </w:p>
              </w:tc>
            </w:tr>
            <w:tr>
              <w:trPr>
                <w:trHeight w:val="475"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T1_estallido:indigeneousindi:cerca_conflictocerca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6"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T2_decreto:indigeneousindi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5"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T2_decreto:indigeneousindi:cerca_conflictocerca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0.283***</w:t>
                  </w:r>
                </w:p>
              </w:tc>
            </w:tr>
            <w:tr>
              <w:trPr>
                <w:trHeight w:val="472"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r>
            <w:tr>
              <w:trPr>
                <w:trHeight w:val="47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0.023</w:t>
                  </w:r>
                </w:p>
              </w:tc>
            </w:tr>
            <w:tr>
              <w:trPr>
                <w:trHeight w:val="472"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r>
            <w:tr>
              <w:trPr>
                <w:trHeight w:val="476"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r>
            <w:tr>
              <w:trPr>
                <w:trHeight w:val="472"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r>
            <w:tr>
              <w:trPr>
                <w:trHeight w:val="476"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72"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r>
            <w:tr>
              <w:trPr>
                <w:trHeight w:val="474"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r>
            <w:tr>
              <w:trPr>
                <w:trHeight w:val="472"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(0.207)</w:t>
                  </w:r>
                </w:p>
              </w:tc>
            </w:tr>
            <w:tr>
              <w:trPr>
                <w:trHeight w:val="474"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w:t>
                  </w:r>
                </w:p>
              </w:tc>
            </w:tr>
            <w:tr>
              <w:trPr>
                <w:trHeight w:val="472"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r>
            <w:tr>
              <w:trPr>
                <w:trHeight w:val="476"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r>
            <w:tr>
              <w:trPr>
                <w:trHeight w:val="472"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r>
            <w:tr>
              <w:trPr>
                <w:trHeight w:val="476"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r>
            <w:tr>
              <w:trPr>
                <w:trHeight w:val="472"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r>
            <w:tr>
              <w:trPr>
                <w:trHeight w:val="474"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0.483</w:t>
                  </w:r>
                </w:p>
              </w:tc>
            </w:tr>
            <w:tr>
              <w:trPr>
                <w:trHeight w:val="473"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1.001</w:t>
                  </w:r>
                </w:p>
              </w:tc>
            </w:tr>
            <w:tr>
              <w:trPr>
                <w:trHeight w:val="44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2270</w:t>
                  </w:r>
                </w:p>
              </w:tc>
            </w:tr>
            <w:tr>
              <w:trPr>
                <w:trHeight w:val="440"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body67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w:t>
                  </w:r>
                </w:p>
              </w:tc>
            </w:tr>
            <w:tr>
              <w:trPr>
                <w:trHeight w:val="360" w:hRule="auto"/>
              </w:trPr>
              footer 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10"/>
        </w:tc>
      </w:tr>
    </w:tbl>
    <w:bookmarkEnd w:id="111"/>
    <w:bookmarkStart w:id="113" w:name="tbl-apendice-pleb"/>
    <w:p>
      <w:pPr>
        <w:pStyle w:val="Heading2"/>
      </w:pPr>
      <w:r>
        <w:t xml:space="preserve">9.2 Tabla A2 — Modelos plebiscito</w:t>
      </w:r>
    </w:p>
    <w:tbl>
      <w:tblPr>
        <w:tblStyle w:val="Table"/>
        <w:tblW w:type="pct" w:w="5000"/>
        <w:tblLayout w:type="fixed"/>
        <w:tblLook w:firstRow="0" w:lastRow="0" w:firstColumn="0" w:lastColumn="0" w:noHBand="0" w:noVBand="0" w:val="0000"/>
      </w:tblPr>
      <w:tblGrid>
        <w:gridCol w:w="7920"/>
      </w:tblGrid>
      <w:tr>
        <w:tc>
          <w:tcPr/>
          <w:bookmarkStart w:id="112" w:name="tbl-apendice-pleb"/>
          <w:p>
            <w:pPr>
              <w:jc w:val="center"/>
            </w:pPr>
            <w:pPr>
              <w:jc w:val="start"/>
              <w:spacing w:before="200"/>
              <w:pStyle w:val="ImageCaption"/>
            </w:pPr>
            <w:r>
              <w:t xml:space="preserve">Tabla 11: Modelos logísticos del plebiscito 2022 (Apéndice).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81"/>
              <w:gridCol w:w="1080"/>
              <w:gridCol w:w="1080"/>
              <w:gridCol w:w="1645"/>
            </w:tblGrid>
            <w:tr>
              <w:trPr>
                <w:trHeight w:val="4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Participó</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Rechazo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Rechazo estricto</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1.201</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(1.043)</w:t>
                  </w:r>
                </w:p>
              </w:tc>
            </w:tr>
            <w:tr>
              <w:trPr>
                <w:trHeight w:val="4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(0.205)</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2.838***</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(0.806)</w:t>
                  </w:r>
                </w:p>
              </w:tc>
            </w:tr>
            <w:tr>
              <w:trPr>
                <w:trHeight w:val="43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1.291***</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3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Justif. vio. 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0.791***</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procedimental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1.162+</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 movilizaciones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0.796***</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r>
            <w:tr>
              <w:trPr>
                <w:trHeight w:val="44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1.117</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r>
            <w:tr>
              <w:trPr>
                <w:trHeight w:val="47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0.834*</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0.593</w:t>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(0.206)</w:t>
                  </w:r>
                </w:p>
              </w:tc>
            </w:tr>
            <w:tr>
              <w:trPr>
                <w:trHeight w:val="44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961</w:t>
                  </w:r>
                </w:p>
              </w:tc>
            </w:tr>
            <w:tr>
              <w:trPr>
                <w:trHeight w:val="440" w:hRule="auto"/>
              </w:trPr>
              body22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1170.8</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12"/>
        </w:tc>
      </w:tr>
    </w:tbl>
    <w:bookmarkEnd w:id="113"/>
    <w:bookmarkStart w:id="130" w:name="sec-apendice-robustez"/>
    <w:p>
      <w:pPr>
        <w:pStyle w:val="Heading2"/>
      </w:pPr>
      <w:r>
        <w:t xml:space="preserve">9.3 Análisis de robustez</w:t>
      </w:r>
    </w:p>
    <w:p>
      <w:pPr>
        <w:pStyle w:val="FirstParagraph"/>
      </w:pPr>
      <w:r>
        <w:t xml:space="preserve">Para paliar la imposibilidad de testear formalmente tendencias paralelas con una sola ola pretratamiento, se implementaron análisis complementarios de balance en ola 2, propensity score matching (PSM), ponderación inversa de la probabilidad (IPW) con diagnóstico de pesos extremos, un placebo pretratamiento (olas 1–2), modelos por ítem y una replicación con codificación ordinal de las variables dependientes. En todas las especificaciones el coeficiente de interés es la triple interacción</w:t>
      </w:r>
      <w:r>
        <w:t xml:space="preserve"> </w:t>
      </w:r>
      <w:r>
        <w:rPr>
          <w:b/>
          <w:bCs/>
        </w:rPr>
        <w:t xml:space="preserve">Ola 4 × identidad indígena × zona de excepción</w:t>
      </w:r>
      <w:r>
        <w:t xml:space="preserve"> </w:t>
      </w:r>
      <w:r>
        <w:t xml:space="preserve">(</w:t>
      </w:r>
      <m:oMath>
        <m:sSub>
          <m:e>
            <m:r>
              <m:t>τ</m:t>
            </m:r>
          </m:e>
          <m:sub>
            <m:r>
              <m:t>4</m:t>
            </m:r>
          </m:sub>
        </m:sSub>
      </m:oMath>
      <w:r>
        <w:t xml:space="preserve">).</w:t>
      </w:r>
    </w:p>
    <w:p>
      <w:pPr>
        <w:pStyle w:val="BodyText"/>
      </w:pPr>
      <w:hyperlink w:anchor="fig-apendice-robustez">
        <w:r>
          <w:rPr>
            <w:rStyle w:val="Hyperlink"/>
          </w:rPr>
          <w:t xml:space="preserve">Figura 8</w:t>
        </w:r>
      </w:hyperlink>
      <w:r>
        <w:t xml:space="preserve"> </w:t>
      </w:r>
      <w:r>
        <w:t xml:space="preserve">resume la estabilidad de</w:t>
      </w:r>
      <w:r>
        <w:t xml:space="preserve"> </w:t>
      </w:r>
      <m:oMath>
        <m:sSub>
          <m:e>
            <m:r>
              <m:t>τ</m:t>
            </m:r>
          </m:e>
          <m:sub>
            <m:r>
              <m:t>4</m:t>
            </m:r>
          </m:sub>
        </m:sSub>
      </m:oMath>
      <w:r>
        <w:t xml:space="preserve"> </w:t>
      </w:r>
      <w:r>
        <w:t xml:space="preserve">entre el modelo principal, IPW, PSM y placebo.</w:t>
      </w:r>
      <w:r>
        <w:t xml:space="preserve"> </w:t>
      </w:r>
      <w:hyperlink w:anchor="tbl-apendice-robustez-resumen">
        <w:r>
          <w:rPr>
            <w:rStyle w:val="Hyperlink"/>
          </w:rPr>
          <w:t xml:space="preserve">Tabla 12</w:t>
        </w:r>
      </w:hyperlink>
      <w:r>
        <w:t xml:space="preserve"> </w:t>
      </w:r>
      <w:r>
        <w:t xml:space="preserve">condensa los mismos resultados en formato tabular.</w:t>
      </w:r>
    </w:p>
    <w:tbl>
      <w:tblPr>
        <w:tblStyle w:val="Table"/>
        <w:tblW w:type="pct" w:w="5000"/>
        <w:tblLayout w:type="fixed"/>
        <w:tblLook w:firstRow="0" w:lastRow="0" w:firstColumn="0" w:lastColumn="0" w:noHBand="0" w:noVBand="0" w:val="0000"/>
      </w:tblPr>
      <w:tblGrid>
        <w:gridCol w:w="7920"/>
      </w:tblGrid>
      <w:tr>
        <w:tc>
          <w:tcPr/>
          <w:bookmarkStart w:id="117" w:name="fig-apendice-robustez"/>
          <w:p>
            <w:pPr>
              <w:pStyle w:val="Compact"/>
              <w:jc w:val="center"/>
            </w:pPr>
            <w:r>
              <w:drawing>
                <wp:inline>
                  <wp:extent cx="5334000" cy="3200399"/>
                  <wp:effectExtent b="0" l="0" r="0" t="0"/>
                  <wp:docPr descr="" title="" id="115" name="Picture"/>
                  <a:graphic>
                    <a:graphicData uri="http://schemas.openxmlformats.org/drawingml/2006/picture">
                      <pic:pic>
                        <pic:nvPicPr>
                          <pic:cNvPr descr="../output/figuras/fig_robustez_comparativa.png" id="116" name="Picture"/>
                          <pic:cNvPicPr>
                            <a:picLocks noChangeArrowheads="1" noChangeAspect="1"/>
                          </pic:cNvPicPr>
                        </pic:nvPicPr>
                        <pic:blipFill>
                          <a:blip r:embed="rId114"/>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Figura 8: Estabilidad del efecto DiD (Ola 4 × Indígena × Zona) a través de especificaciones. IC 95%.</w:t>
            </w:r>
          </w:p>
          <w:bookmarkEnd w:id="117"/>
        </w:tc>
      </w:tr>
    </w:tbl>
    <w:tbl>
      <w:tblPr>
        <w:tblStyle w:val="Table"/>
        <w:tblW w:type="pct" w:w="5000"/>
        <w:tblLayout w:type="fixed"/>
        <w:tblLook w:firstRow="0" w:lastRow="0" w:firstColumn="0" w:lastColumn="0" w:noHBand="0" w:noVBand="0" w:val="0000"/>
      </w:tblPr>
      <w:tblGrid>
        <w:gridCol w:w="7920"/>
      </w:tblGrid>
      <w:tr>
        <w:tc>
          <w:tcPr/>
          <w:bookmarkStart w:id="118" w:name="tbl-apendice-robustez-resumen"/>
          <w:p>
            <w:pPr>
              <w:jc w:val="center"/>
            </w:pPr>
            <w:pPr>
              <w:jc w:val="start"/>
              <w:spacing w:before="200"/>
              <w:pStyle w:val="ImageCaption"/>
            </w:pPr>
            <w:r>
              <w:t xml:space="preserve">Tabla 12: Resumen de análisis de robustez. Coeficiente de interés: Ola 4 × Indígena × Zona [DiD] (β).</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15"/>
              <w:gridCol w:w="1394"/>
              <w:gridCol w:w="1434"/>
            </w:tblGrid>
            <w:tr>
              <w:trPr>
                <w:trHeight w:val="47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Especificación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r>
            <w:tr>
              <w:trPr>
                <w:trHeight w:val="4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 principal M2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 **</w:t>
                  </w:r>
                </w:p>
              </w:tc>
            </w:tr>
            <w:tr>
              <w:trPr>
                <w:trHeight w:val="4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0,693 *</w:t>
                  </w:r>
                </w:p>
              </w:tc>
            </w:tr>
            <w:tr>
              <w:trPr>
                <w:trHeight w:val="4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0,812 **</w:t>
                  </w:r>
                </w:p>
              </w:tc>
            </w:tr>
            <w:tr>
              <w:trPr>
                <w:trHeight w:val="4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1,035 ***</w:t>
                  </w:r>
                </w:p>
              </w:tc>
            </w:tr>
            <w:tr>
              <w:trPr>
                <w:trHeight w:val="476"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 (nearest neighbor)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0,691</w:t>
                  </w:r>
                </w:p>
              </w:tc>
            </w:tr>
            <w:tr>
              <w:trPr>
                <w:trHeight w:val="457"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ola 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r>
          </w:tbl>
          <w:bookmarkEnd w:id="118"/>
        </w:tc>
      </w:tr>
    </w:tbl>
    <w:p>
      <w:pPr>
        <w:pStyle w:val="BodyText"/>
      </w:pPr>
      <w:r>
        <w:t xml:space="preserve">En el modelo principal (Modelo C), la interacción triple es positiva y significativa para violencia de control social (β = 0,463,</w:t>
      </w:r>
      <w:r>
        <w:t xml:space="preserve"> </w:t>
      </w:r>
      <w:r>
        <w:rPr>
          <w:i/>
          <w:iCs/>
        </w:rPr>
        <w:t xml:space="preserve">p</w:t>
      </w:r>
      <w:r>
        <w:t xml:space="preserve"> </w:t>
      </w:r>
      <w:r>
        <w:t xml:space="preserve">= ,288) y cambio social (β = 0,824,</w:t>
      </w:r>
      <w:r>
        <w:t xml:space="preserve"> </w:t>
      </w:r>
      <w:r>
        <w:rPr>
          <w:i/>
          <w:iCs/>
        </w:rPr>
        <w:t xml:space="preserve">p</w:t>
      </w:r>
      <w:r>
        <w:t xml:space="preserve"> </w:t>
      </w:r>
      <w:r>
        <w:t xml:space="preserve">= ,035). El placebo pretratamiento (olas 1–2) no alcanza significancia en ninguna variable dependiente, lo que es compatible con la ausencia de una divergencia equivalente antes del período analizado. En el PSM, los coeficientes mantienen dirección positiva (control: β = 0,180,</w:t>
      </w:r>
      <w:r>
        <w:t xml:space="preserve"> </w:t>
      </w:r>
      <w:r>
        <w:rPr>
          <w:i/>
          <w:iCs/>
        </w:rPr>
        <w:t xml:space="preserve">p</w:t>
      </w:r>
      <w:r>
        <w:t xml:space="preserve"> </w:t>
      </w:r>
      <w:r>
        <w:t xml:space="preserve">= ,739; cambio: β = 0,693,</w:t>
      </w:r>
      <w:r>
        <w:t xml:space="preserve"> </w:t>
      </w:r>
      <w:r>
        <w:rPr>
          <w:i/>
          <w:iCs/>
        </w:rPr>
        <w:t xml:space="preserve">p</w:t>
      </w:r>
      <w:r>
        <w:t xml:space="preserve"> </w:t>
      </w:r>
      <w:r>
        <w:t xml:space="preserve">= ,102) pero pierden significancia estadística. La explicación más probable no es solo la reducción muestral (</w:t>
      </w:r>
      <w:r>
        <w:rPr>
          <w:i/>
          <w:iCs/>
        </w:rPr>
        <w:t xml:space="preserve">n</w:t>
      </w:r>
      <w:r>
        <w:t xml:space="preserve"> </w:t>
      </w:r>
      <w:r>
        <w:t xml:space="preserve">= 682 folios emparejados), sino el</w:t>
      </w:r>
      <w:r>
        <w:t xml:space="preserve"> </w:t>
      </w:r>
      <w:r>
        <w:rPr>
          <w:b/>
          <w:bCs/>
        </w:rPr>
        <w:t xml:space="preserve">soporte común estrecho</w:t>
      </w:r>
      <w:r>
        <w:t xml:space="preserve"> </w:t>
      </w:r>
      <w:r>
        <w:t xml:space="preserve">entre tratados y controles: la zona de excepción concentra características sociodemográficas y territoriales que dificultan encontrar contrapartes válidas fuera de ella, lo que limita la estrategia de matching pero no invalida el diseño DiD condicional.</w:t>
      </w:r>
    </w:p>
    <w:bookmarkStart w:id="123" w:name="X0f4f3ece1347c0fe61edfe864b419874930d8b5"/>
    <w:p>
      <w:pPr>
        <w:pStyle w:val="Heading3"/>
      </w:pPr>
      <w:r>
        <w:t xml:space="preserve">9.3.1 Ponderación inversa (IPW) y trimming de pesos</w:t>
      </w:r>
    </w:p>
    <w:p>
      <w:pPr>
        <w:pStyle w:val="FirstParagraph"/>
      </w:pPr>
      <w:r>
        <w:t xml:space="preserve">El IPW estimado en ola 2 ajusta por diferencias observables en la probabilidad de residir en zona de excepción. La distribución de pesos presenta asimetría y valores extremos (</w:t>
      </w:r>
      <w:hyperlink w:anchor="fig-apendice-pesos-ipw">
        <w:r>
          <w:rPr>
            <w:rStyle w:val="Hyperlink"/>
          </w:rPr>
          <w:t xml:space="preserve">Figura 9</w:t>
        </w:r>
      </w:hyperlink>
      <w:r>
        <w:t xml:space="preserve">). En la especificación original, los pesos oscilan entre 1,01 y 41,5 (mediana = 1,24; media = 2,02; p95 = 5,89; p99 = 13,1). Tras truncar al percentil 5–95 %, el rango se reduce a [1,03; 5,89], con media = 1,77 y mediana = 1,24.</w:t>
      </w:r>
    </w:p>
    <w:p>
      <w:pPr>
        <w:pStyle w:val="BodyText"/>
      </w:pPr>
      <w:r>
        <w:t xml:space="preserve">Para violencia de control social, el IPW original (β = 0,998,</w:t>
      </w:r>
      <w:r>
        <w:t xml:space="preserve"> </w:t>
      </w:r>
      <w:r>
        <w:rPr>
          <w:i/>
          <w:iCs/>
        </w:rPr>
        <w:t xml:space="preserve">p</w:t>
      </w:r>
      <w:r>
        <w:t xml:space="preserve"> </w:t>
      </w:r>
      <w:r>
        <w:t xml:space="preserve">= ,002) amplifica la magnitud respecto al modelo principal, pero el efecto permanece positivo y altamente significativo tras el trimming (1–99 %: 0,880</w:t>
      </w:r>
      <w:r>
        <w:t xml:space="preserve"> </w:t>
      </w:r>
      <w:r>
        <w:rPr>
          <w:b/>
          <w:bCs/>
        </w:rPr>
        <w:t xml:space="preserve">; 5–95 %: 0,750</w:t>
      </w:r>
      <w:r>
        <w:rPr>
          <w:b/>
          <w:bCs/>
        </w:rPr>
        <w:t xml:space="preserve"> </w:t>
      </w:r>
      <w:r>
        <w:rPr>
          <w:b/>
          <w:bCs/>
          <w:i/>
          <w:iCs/>
        </w:rPr>
        <w:t xml:space="preserve">), lo que sugiere que el aumento ponderado no parece explicarse exclusivamente por observaciones con pesos extremos. Para violencia de cambio social, la dirección positiva se mantiene en todas las especificaciones IPW, pero la magnitud es sensible al tratamiento de pesos: el coeficiente pasa de β = 0,437,</w:t>
      </w:r>
      <w:r>
        <w:rPr>
          <w:b/>
          <w:bCs/>
          <w:i/>
          <w:iCs/>
        </w:rPr>
        <w:t xml:space="preserve"> </w:t>
      </w:r>
      <w:r>
        <w:rPr>
          <w:b/>
          <w:bCs/>
        </w:rPr>
        <w:t xml:space="preserve">p* = ,124 en el IPW original a β = 0,526,</w:t>
      </w:r>
      <w:r>
        <w:rPr>
          <w:b/>
          <w:bCs/>
        </w:rPr>
        <w:t xml:space="preserve"> </w:t>
      </w:r>
      <w:r>
        <w:rPr>
          <w:b/>
          <w:bCs/>
          <w:i/>
          <w:iCs/>
        </w:rPr>
        <w:t xml:space="preserve">p</w:t>
      </w:r>
      <w:r>
        <w:rPr>
          <w:b/>
          <w:bCs/>
        </w:rPr>
        <w:t xml:space="preserve"> </w:t>
      </w:r>
      <w:r>
        <w:rPr>
          <w:b/>
          <w:bCs/>
        </w:rPr>
        <w:t xml:space="preserve">= ,068 con trimming 1–99 % y β = 0,729,</w:t>
      </w:r>
      <w:r>
        <w:rPr>
          <w:b/>
          <w:bCs/>
        </w:rPr>
        <w:t xml:space="preserve"> </w:t>
      </w:r>
      <w:r>
        <w:rPr>
          <w:b/>
          <w:bCs/>
          <w:i/>
          <w:iCs/>
        </w:rPr>
        <w:t xml:space="preserve">p</w:t>
      </w:r>
      <w:r>
        <w:rPr>
          <w:b/>
          <w:bCs/>
        </w:rPr>
        <w:t xml:space="preserve"> </w:t>
      </w:r>
      <w:r>
        <w:rPr>
          <w:b/>
          <w:bCs/>
        </w:rPr>
        <w:t xml:space="preserve">= ,015 con trimming 5–95 %. En conjunto, la evidencia es más sólida para la</w:t>
      </w:r>
      <w:r>
        <w:rPr>
          <w:b/>
          <w:bCs/>
        </w:rPr>
        <w:t xml:space="preserve"> </w:t>
      </w:r>
      <w:r>
        <w:t xml:space="preserve">dirección** del cambio diferencial que para el tamaño puntual del coeficiente.</w:t>
      </w:r>
    </w:p>
    <w:tbl>
      <w:tblPr>
        <w:tblStyle w:val="Table"/>
        <w:tblW w:type="pct" w:w="5000"/>
        <w:tblLayout w:type="fixed"/>
        <w:tblLook w:firstRow="0" w:lastRow="0" w:firstColumn="0" w:lastColumn="0" w:noHBand="0" w:noVBand="0" w:val="0000"/>
      </w:tblPr>
      <w:tblGrid>
        <w:gridCol w:w="7920"/>
      </w:tblGrid>
      <w:tr>
        <w:tc>
          <w:tcPr/>
          <w:bookmarkStart w:id="122" w:name="fig-apendice-pesos-ipw"/>
          <w:p>
            <w:pPr>
              <w:pStyle w:val="Compact"/>
              <w:jc w:val="center"/>
            </w:pPr>
            <w:r>
              <w:drawing>
                <wp:inline>
                  <wp:extent cx="4533900" cy="2833687"/>
                  <wp:effectExtent b="0" l="0" r="0" t="0"/>
                  <wp:docPr descr="" title="" id="120" name="Picture"/>
                  <a:graphic>
                    <a:graphicData uri="http://schemas.openxmlformats.org/drawingml/2006/picture">
                      <pic:pic>
                        <pic:nvPicPr>
                          <pic:cNvPr descr="../output/figuras/fig_hist_pesos_ipw.png" id="121" name="Picture"/>
                          <pic:cNvPicPr>
                            <a:picLocks noChangeArrowheads="1" noChangeAspect="1"/>
                          </pic:cNvPicPr>
                        </pic:nvPicPr>
                        <pic:blipFill>
                          <a:blip r:embed="rId119"/>
                          <a:stretch>
                            <a:fillRect/>
                          </a:stretch>
                        </pic:blipFill>
                        <pic:spPr bwMode="auto">
                          <a:xfrm>
                            <a:off x="0" y="0"/>
                            <a:ext cx="4533900" cy="283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Figura 9: Distribución de pesos IPW en ola 2 (baseline). Líneas verticales: percentiles 1 y 99.</w:t>
            </w:r>
          </w:p>
          <w:bookmarkEnd w:id="122"/>
        </w:tc>
      </w:tr>
    </w:tbl>
    <w:bookmarkEnd w:id="123"/>
    <w:bookmarkStart w:id="125" w:name="Xf0d52381254a9da8c1c42ddc0f97908bebb399d"/>
    <w:p>
      <w:pPr>
        <w:pStyle w:val="Heading3"/>
      </w:pPr>
      <w:r>
        <w:t xml:space="preserve">9.3.2 Tabla completa de coeficientes de robustez</w:t>
      </w:r>
    </w:p>
    <w:tbl>
      <w:tblPr>
        <w:tblStyle w:val="Table"/>
        <w:tblW w:type="pct" w:w="5000"/>
        <w:tblLayout w:type="fixed"/>
        <w:tblLook w:firstRow="0" w:lastRow="0" w:firstColumn="0" w:lastColumn="0" w:noHBand="0" w:noVBand="0" w:val="0000"/>
      </w:tblPr>
      <w:tblGrid>
        <w:gridCol w:w="7920"/>
      </w:tblGrid>
      <w:tr>
        <w:tc>
          <w:tcPr/>
          <w:bookmarkStart w:id="124" w:name="tbl-apendice-robustez"/>
          <w:p>
            <w:pPr>
              <w:jc w:val="center"/>
            </w:pPr>
            <w:pPr>
              <w:jc w:val="start"/>
              <w:spacing w:before="200"/>
              <w:pStyle w:val="ImageCaption"/>
            </w:pPr>
            <w:r>
              <w:t xml:space="preserve">Tabla 13: Resumen completo de robustez (todos los modelos estimados en 04_robustez.R).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5"/>
              <w:gridCol w:w="2025"/>
              <w:gridCol w:w="984"/>
              <w:gridCol w:w="974"/>
              <w:gridCol w:w="884"/>
              <w:gridCol w:w="724"/>
            </w:tblGrid>
            <w:tr>
              <w:trPr>
                <w:trHeight w:val="47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modelo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variable_dependiente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signif</w:t>
                  </w:r>
                </w:p>
              </w:tc>
            </w:tr>
            <w:tr>
              <w:trPr>
                <w:trHeight w:val="45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estallido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 —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 — Estallido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 — Estallido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 — Decreto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 — Decreto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original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IPW trim 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2"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Placebo real (ola1→2)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5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Núcleo histórico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5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Núcleo histórico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Carabineros (d3_1)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vio_ctrl_carb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8"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Agricultores armados (d3_2)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vio_ctrl_agric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Tomas de terrenos (d4_2)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vio_camb_tierras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505" w:hRule="auto"/>
              </w:trPr>
              body24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Cortes de caminos (d4_3)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vio_camb_cortes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bl>
          <w:bookmarkEnd w:id="124"/>
        </w:tc>
      </w:tr>
    </w:tbl>
    <w:bookmarkEnd w:id="125"/>
    <w:bookmarkStart w:id="127" w:name="tbl-apendice-items"/>
    <w:p>
      <w:pPr>
        <w:pStyle w:val="Heading3"/>
      </w:pPr>
      <w:r>
        <w:t xml:space="preserve">9.3.3 Modelos DiD por ítem</w:t>
      </w:r>
    </w:p>
    <w:tbl>
      <w:tblPr>
        <w:tblStyle w:val="Table"/>
        <w:tblW w:type="pct" w:w="5000"/>
        <w:tblLayout w:type="fixed"/>
        <w:tblLook w:firstRow="0" w:lastRow="0" w:firstColumn="0" w:lastColumn="0" w:noHBand="0" w:noVBand="0" w:val="0000"/>
      </w:tblPr>
      <w:tblGrid>
        <w:gridCol w:w="7920"/>
      </w:tblGrid>
      <w:tr>
        <w:tc>
          <w:tcPr/>
          <w:bookmarkStart w:id="126" w:name="tbl-apendice-items"/>
          <w:p>
            <w:pPr>
              <w:jc w:val="center"/>
            </w:pPr>
            <w:pPr>
              <w:jc w:val="start"/>
              <w:spacing w:before="200"/>
              <w:pStyle w:val="ImageCaption"/>
            </w:pPr>
            <w:r>
              <w:t xml:space="preserve">Tabla 14: Modelos DiD por ítem (coeficiente de interés: DiD decreto, ola 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5"/>
              <w:gridCol w:w="1855"/>
              <w:gridCol w:w="2575"/>
              <w:gridCol w:w="2385"/>
              <w:gridCol w:w="2375"/>
            </w:tblGrid>
            <w:tr>
              <w:trPr>
                <w:trHeight w:val="47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Carabineros (d3_1)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Agricultores armados (d3_2)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Tomas de terrenos (d4_2)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Cortes de caminos (d4_3)</w:t>
                  </w:r>
                </w:p>
              </w:tc>
            </w:tr>
            <w:tr>
              <w:trPr>
                <w:trHeight w:val="4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2.809***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1.795***</w:t>
                  </w:r>
                </w:p>
              </w:tc>
            </w:tr>
            <w:tr>
              <w:trPr>
                <w:trHeight w:val="4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(0.262)</w:t>
                  </w:r>
                </w:p>
              </w:tc>
            </w:tr>
            <w:tr>
              <w:trPr>
                <w:trHeight w:val="4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0.541</w:t>
                  </w:r>
                </w:p>
              </w:tc>
            </w:tr>
            <w:tr>
              <w:trPr>
                <w:trHeight w:val="4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1.083</w:t>
                  </w:r>
                </w:p>
              </w:tc>
            </w:tr>
            <w:tr>
              <w:trPr>
                <w:trHeight w:val="44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2265</w:t>
                  </w:r>
                </w:p>
              </w:tc>
            </w:tr>
            <w:tr>
              <w:trPr>
                <w:trHeight w:val="44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26"/>
        </w:tc>
      </w:tr>
    </w:tbl>
    <w:bookmarkEnd w:id="127"/>
    <w:bookmarkStart w:id="129" w:name="tbl-apendice-likert"/>
    <w:p>
      <w:pPr>
        <w:pStyle w:val="Heading3"/>
      </w:pPr>
      <w:r>
        <w:t xml:space="preserve">9.3.4 Codificación ordinal (sensibilidad)</w:t>
      </w:r>
    </w:p>
    <w:p>
      <w:pPr>
        <w:pStyle w:val="FirstParagraph"/>
      </w:pPr>
      <w:r>
        <w:t xml:space="preserve">Se replicaron los modelos DiD con una codificación ordinal de las variables dependientes (Rechaza [1–2] / Neutral [3] / Justifica [4–5], esquema A simétrico). Los resultados son consistentes en dirección y significancia con la especificación continua, siendo más sensibles al efecto DiD en cambio social (β = 1,87**,</w:t>
      </w:r>
      <w:r>
        <w:t xml:space="preserve"> </w:t>
      </w:r>
      <w:r>
        <w:rPr>
          <w:i/>
          <w:iCs/>
        </w:rPr>
        <w:t xml:space="preserve">p</w:t>
      </w:r>
      <w:r>
        <w:t xml:space="preserve"> </w:t>
      </w:r>
      <w:r>
        <w:t xml:space="preserve">&lt; ,01) que en control social (β = 1,14+,</w:t>
      </w:r>
      <w:r>
        <w:t xml:space="preserve"> </w:t>
      </w:r>
      <w:r>
        <w:rPr>
          <w:i/>
          <w:iCs/>
        </w:rPr>
        <w:t xml:space="preserve">p</w:t>
      </w:r>
      <w:r>
        <w:t xml:space="preserve"> </w:t>
      </w:r>
      <w:r>
        <w:t xml:space="preserve">= ,08).</w:t>
      </w:r>
    </w:p>
    <w:tbl>
      <w:tblPr>
        <w:tblStyle w:val="Table"/>
        <w:tblW w:type="pct" w:w="5000"/>
        <w:tblLayout w:type="fixed"/>
        <w:tblLook w:firstRow="0" w:lastRow="0" w:firstColumn="0" w:lastColumn="0" w:noHBand="0" w:noVBand="0" w:val="0000"/>
      </w:tblPr>
      <w:tblGrid>
        <w:gridCol w:w="7920"/>
      </w:tblGrid>
      <w:tr>
        <w:tc>
          <w:tcPr/>
          <w:bookmarkStart w:id="128" w:name="tbl-apendice-likert"/>
          <w:p>
            <w:pPr>
              <w:jc w:val="center"/>
            </w:pPr>
            <w:pPr>
              <w:jc w:val="start"/>
              <w:spacing w:before="200"/>
              <w:pStyle w:val="ImageCaption"/>
            </w:pPr>
            <w:r>
              <w:t xml:space="preserve">Tabla 15: Comparación DiD: escala continua 1–5 vs. ordinal A vs. ordinal B (CLMM).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45"/>
              <w:gridCol w:w="1434"/>
              <w:gridCol w:w="1155"/>
              <w:gridCol w:w="1155"/>
              <w:gridCol w:w="1355"/>
              <w:gridCol w:w="534"/>
            </w:tblGrid>
            <w:tr>
              <w:trPr>
                <w:trHeight w:val="473"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spec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sig</w:t>
                  </w:r>
                </w:p>
              </w:tc>
            </w:tr>
            <w:tr>
              <w:trPr>
                <w:trHeight w:val="44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Continuo 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0.7617530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0.2766449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0.005951536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4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Continuo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0.8372359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0.2930352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0.004320910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A (simétrico)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1.1362272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0.5923541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0.055091330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A (simétrico)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1.8693676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0.7196614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0.009388727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B (intensidad)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0.6681315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0.4158547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0.108131951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Ordinal B (intensidad)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1.4257150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0.7218319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0.048252883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4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0.3542917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0.1588688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0.025855888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4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0.5195745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0.1624323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0.001402859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r>
              <w:trPr>
                <w:trHeight w:val="44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0.1708496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0.1424662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0.230586607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4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Lineal cód. 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0.3622432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0.1435121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0.011677856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r>
          </w:tbl>
          <w:bookmarkEnd w:id="128"/>
        </w:tc>
      </w:tr>
    </w:tbl>
    <w:bookmarkEnd w:id="129"/>
    <w:bookmarkEnd w:id="130"/>
    <w:bookmarkStart w:id="132" w:name="tbl-apendice-alpha"/>
    <w:p>
      <w:pPr>
        <w:pStyle w:val="Heading2"/>
      </w:pPr>
      <w:r>
        <w:t xml:space="preserve">9.4 Tabla A4 — Consistencia interna</w:t>
      </w:r>
    </w:p>
    <w:tbl>
      <w:tblPr>
        <w:tblStyle w:val="Table"/>
        <w:tblW w:type="pct" w:w="5000"/>
        <w:tblLayout w:type="fixed"/>
        <w:tblLook w:firstRow="0" w:lastRow="0" w:firstColumn="0" w:lastColumn="0" w:noHBand="0" w:noVBand="0" w:val="0000"/>
      </w:tblPr>
      <w:tblGrid>
        <w:gridCol w:w="7920"/>
      </w:tblGrid>
      <w:tr>
        <w:tc>
          <w:tcPr/>
          <w:bookmarkStart w:id="131" w:name="tbl-apendice-alpha"/>
          <w:p>
            <w:pPr>
              <w:jc w:val="center"/>
            </w:pPr>
            <w:pPr>
              <w:jc w:val="start"/>
              <w:spacing w:before="200"/>
              <w:pStyle w:val="ImageCaption"/>
            </w:pPr>
            <w:r>
              <w:t xml:space="preserve">Tabla 16: Consistencia interna de índices compuestos (alfa de Cronbach e intercorrelación ítem).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705"/>
              <w:gridCol w:w="1480"/>
              <w:gridCol w:w="764"/>
              <w:gridCol w:w="2025"/>
              <w:gridCol w:w="1545"/>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Items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Alpha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Correlacion inter-item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Nota</w:t>
                  </w:r>
                </w:p>
              </w:tc>
            </w:tr>
            <w:tr>
              <w:trPr>
                <w:trHeight w:val="4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Represión estatal (status quo)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 (d3_1)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único</w:t>
                  </w:r>
                </w:p>
              </w:tc>
            </w:tr>
            <w:tr>
              <w:trPr>
                <w:trHeight w:val="4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 (d4_2+d4_3)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Adecuado</w:t>
                  </w:r>
                </w:p>
              </w:tc>
            </w:tr>
            <w:tr>
              <w:trPr>
                <w:trHeight w:val="4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 ingroup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único</w:t>
                  </w:r>
                </w:p>
              </w:tc>
            </w:tr>
            <w:tr>
              <w:trPr>
                <w:trHeight w:val="4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Justicia proc. outgroup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Ítem único</w:t>
                  </w:r>
                </w:p>
              </w:tc>
            </w:tr>
            <w:tr>
              <w:trPr>
                <w:trHeight w:val="473"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Identidad étnica (a4+a5)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 (a4+a5)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Alta correlación</w:t>
                  </w:r>
                </w:p>
              </w:tc>
            </w:tr>
          </w:tbl>
          <w:bookmarkEnd w:id="131"/>
        </w:tc>
      </w:tr>
    </w:tbl>
    <w:bookmarkEnd w:id="132"/>
    <w:bookmarkStart w:id="134" w:name="sec-apendice-a7"/>
    <w:p>
      <w:pPr>
        <w:pStyle w:val="Heading2"/>
      </w:pPr>
      <w:r>
        <w:t xml:space="preserve">9.5 Tabla A7 — Sensibilidad: ítem único vs. índice dual y perc. injusticia</w:t>
      </w:r>
    </w:p>
    <w:tbl>
      <w:tblPr>
        <w:tblStyle w:val="Table"/>
        <w:tblW w:type="pct" w:w="5000"/>
        <w:tblLayout w:type="fixed"/>
        <w:tblLook w:firstRow="0" w:lastRow="0" w:firstColumn="0" w:lastColumn="0" w:noHBand="0" w:noVBand="0" w:val="0000"/>
      </w:tblPr>
      <w:tblGrid>
        <w:gridCol w:w="7920"/>
      </w:tblGrid>
      <w:tr>
        <w:tc>
          <w:tcPr/>
          <w:bookmarkStart w:id="133" w:name="tbl-apendice-sensibilidad"/>
          <w:p>
            <w:pPr>
              <w:jc w:val="center"/>
            </w:pPr>
            <w:pPr>
              <w:jc w:val="start"/>
              <w:spacing w:before="200"/>
              <w:pStyle w:val="ImageCaption"/>
            </w:pPr>
            <w:r>
              <w:t xml:space="preserve">Tabla 17: Modelos de sensibilidad: control con perc. injusticia (N reducido) e índice dual d3_1+d3_2.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724"/>
              <w:gridCol w:w="1600"/>
              <w:gridCol w:w="2131"/>
            </w:tblGrid>
            <w:tr>
              <w:trPr>
                <w:trHeight w:val="49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(principal)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perc. injusticia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Índice dual d3_1+d3_2</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3.855***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2.995***</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(0.227)</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(0.084)</w:t>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0.343***</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(0.090)</w:t>
                  </w:r>
                </w:p>
              </w:tc>
            </w:tr>
            <w:tr>
              <w:trPr>
                <w:trHeight w:val="47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0.034</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r>
            <w:tr>
              <w:trPr>
                <w:trHeight w:val="4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Mujer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r>
            <w:tr>
              <w:trPr>
                <w:trHeight w:val="44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con Chile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Id. causa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r>
            <w:tr>
              <w:trPr>
                <w:trHeight w:val="4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desigualdad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(0.027)</w:t>
                  </w:r>
                </w:p>
              </w:tc>
            </w:tr>
            <w:tr>
              <w:trPr>
                <w:trHeight w:val="47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Perc. injusticia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(0.115)</w:t>
                  </w:r>
                </w:p>
              </w:tc>
            </w:tr>
            <w:tr>
              <w:trPr>
                <w:trHeight w:val="476"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(0.126)</w:t>
                  </w:r>
                </w:p>
              </w:tc>
            </w:tr>
            <w:tr>
              <w:trPr>
                <w:trHeight w:val="47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0.219</w:t>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(0.232)</w:t>
                  </w:r>
                </w:p>
              </w:tc>
            </w:tr>
            <w:tr>
              <w:trPr>
                <w:trHeight w:val="47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0.501+</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(0.275)</w:t>
                  </w:r>
                </w:p>
              </w:tc>
            </w:tr>
            <w:tr>
              <w:trPr>
                <w:trHeight w:val="47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 × Zona excepción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(0.247)</w:t>
                  </w:r>
                </w:p>
              </w:tc>
            </w:tr>
            <w:tr>
              <w:trPr>
                <w:trHeight w:val="476"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 × Zona [DiD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0.144</w:t>
                  </w:r>
                </w:p>
              </w:tc>
            </w:tr>
            <w:tr>
              <w:trPr>
                <w:trHeight w:val="472"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(0.305)</w:t>
                  </w:r>
                </w:p>
              </w:tc>
            </w:tr>
            <w:tr>
              <w:trPr>
                <w:trHeight w:val="476"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 × Zona [DiD 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0.719*</w:t>
                  </w:r>
                </w:p>
              </w:tc>
            </w:tr>
            <w:tr>
              <w:trPr>
                <w:trHeight w:val="472"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(0.360)</w:t>
                  </w:r>
                </w:p>
              </w:tc>
            </w:tr>
            <w:tr>
              <w:trPr>
                <w:trHeight w:val="44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1850</w:t>
                  </w:r>
                </w:p>
              </w:tc>
            </w:tr>
            <w:tr>
              <w:trPr>
                <w:trHeight w:val="44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r>
            <w:tr>
              <w:trPr>
                <w:trHeight w:val="440" w:hRule="auto"/>
              </w:trPr>
              body37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0.85</w:t>
                  </w:r>
                </w:p>
              </w:tc>
            </w:tr>
            <w:tr>
              <w:trPr>
                <w:trHeight w:val="360" w:hRule="auto"/>
              </w:trPr>
              footer 1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33"/>
        </w:tc>
      </w:tr>
    </w:tbl>
    <w:bookmarkEnd w:id="134"/>
    <w:bookmarkStart w:id="136" w:name="tbl-apendice-mecanismo"/>
    <w:p>
      <w:pPr>
        <w:pStyle w:val="Heading2"/>
      </w:pPr>
      <w:r>
        <w:t xml:space="preserve">9.6 Tabla A5 — Análisis de mecanismo ingroup/outgroup</w:t>
      </w:r>
    </w:p>
    <w:tbl>
      <w:tblPr>
        <w:tblStyle w:val="Table"/>
        <w:tblW w:type="pct" w:w="5000"/>
        <w:tblLayout w:type="fixed"/>
        <w:tblLook w:firstRow="0" w:lastRow="0" w:firstColumn="0" w:lastColumn="0" w:noHBand="0" w:noVBand="0" w:val="0000"/>
      </w:tblPr>
      <w:tblGrid>
        <w:gridCol w:w="7920"/>
      </w:tblGrid>
      <w:tr>
        <w:tc>
          <w:tcPr/>
          <w:bookmarkStart w:id="135" w:name="tbl-apendice-mecanismo"/>
          <w:p>
            <w:pPr>
              <w:jc w:val="center"/>
            </w:pPr>
            <w:pPr>
              <w:jc w:val="start"/>
              <w:spacing w:before="200"/>
              <w:pStyle w:val="ImageCaption"/>
            </w:pPr>
            <w:r>
              <w:t xml:space="preserve">Tabla 18: Análisis de mecanismo: ingroup/outgroup/brecha (9 especificaciones).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07"/>
              <w:gridCol w:w="1575"/>
              <w:gridCol w:w="1715"/>
              <w:gridCol w:w="1535"/>
              <w:gridCol w:w="1314"/>
              <w:gridCol w:w="1390"/>
              <w:gridCol w:w="1454"/>
              <w:gridCol w:w="1530"/>
            </w:tblGrid>
            <w:tr>
              <w:trPr>
                <w:trHeight w:val="47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Paso 1: Ingroup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Paso 1: Outgroup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Paso 1: Brecha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sin med.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Ctrl + ingroup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Resg sin med.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Resg + ingroup</w:t>
                  </w:r>
                </w:p>
              </w:tc>
            </w:tr>
            <w:tr>
              <w:trPr>
                <w:trHeight w:val="47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Intercepto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3.646***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1.361***</w:t>
                  </w:r>
                </w:p>
              </w:tc>
            </w:tr>
            <w:tr>
              <w:trPr>
                <w:trHeight w:val="47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(0.208)</w:t>
                  </w:r>
                </w:p>
              </w:tc>
            </w:tr>
            <w:tr>
              <w:trPr>
                <w:trHeight w:val="44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Resabio estallido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Decreto + Apruebo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-0.149**</w:t>
                  </w:r>
                </w:p>
              </w:tc>
            </w:tr>
            <w:tr>
              <w:trPr>
                <w:trHeight w:val="472"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r>
            <w:tr>
              <w:trPr>
                <w:trHeight w:val="47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0.063</w:t>
                  </w:r>
                </w:p>
              </w:tc>
            </w:tr>
            <w:tr>
              <w:trPr>
                <w:trHeight w:val="472"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(0.053)</w:t>
                  </w:r>
                </w:p>
              </w:tc>
            </w:tr>
            <w:tr>
              <w:trPr>
                <w:trHeight w:val="45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0.055</w:t>
                  </w:r>
                </w:p>
              </w:tc>
            </w:tr>
            <w:tr>
              <w:trPr>
                <w:trHeight w:val="472"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r>
            <w:tr>
              <w:trPr>
                <w:trHeight w:val="45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malestar_diferen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0.072***</w:t>
                  </w:r>
                </w:p>
              </w:tc>
            </w:tr>
            <w:tr>
              <w:trPr>
                <w:trHeight w:val="472"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r>
            <w:tr>
              <w:trPr>
                <w:trHeight w:val="472"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apoyo_movil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0.078***</w:t>
                  </w:r>
                </w:p>
              </w:tc>
            </w:tr>
            <w:tr>
              <w:trPr>
                <w:trHeight w:val="472"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(0.016)</w:t>
                  </w:r>
                </w:p>
              </w:tc>
            </w:tr>
            <w:tr>
              <w:trPr>
                <w:trHeight w:val="47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3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Ola 4 × Indígena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-0.099</w:t>
                  </w:r>
                </w:p>
              </w:tc>
            </w:tr>
            <w:tr>
              <w:trPr>
                <w:trHeight w:val="47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(0.070)</w:t>
                  </w:r>
                </w:p>
              </w:tc>
            </w:tr>
            <w:tr>
              <w:trPr>
                <w:trHeight w:val="47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periodoestallido:zona_decretodecreto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periododecreto:zona_decretodecreto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-0.088</w:t>
                  </w:r>
                </w:p>
              </w:tc>
            </w:tr>
            <w:tr>
              <w:trPr>
                <w:trHeight w:val="472"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r>
            <w:tr>
              <w:trPr>
                <w:trHeight w:val="4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indigeneousindi:zona_decretodecreto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-0.107</w:t>
                  </w:r>
                </w:p>
              </w:tc>
            </w:tr>
            <w:tr>
              <w:trPr>
                <w:trHeight w:val="472"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(0.122)</w:t>
                  </w:r>
                </w:p>
              </w:tc>
            </w:tr>
            <w:tr>
              <w:trPr>
                <w:trHeight w:val="473"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periodoestallido:indigeneousindi:zona_decretodecreto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2"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r>
            <w:tr>
              <w:trPr>
                <w:trHeight w:val="473"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periododecreto:indigeneousindi:zona_decretodecreto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0.523**</w:t>
                  </w:r>
                </w:p>
              </w:tc>
            </w:tr>
            <w:tr>
              <w:trPr>
                <w:trHeight w:val="472"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(0.197)</w:t>
                  </w:r>
                </w:p>
              </w:tc>
            </w:tr>
            <w:tr>
              <w:trPr>
                <w:trHeight w:val="475"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Just. proc. ingroup (rezagada)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-0.031+</w:t>
                  </w:r>
                </w:p>
              </w:tc>
            </w:tr>
            <w:tr>
              <w:trPr>
                <w:trHeight w:val="472"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(0.018)</w:t>
                  </w:r>
                </w:p>
              </w:tc>
            </w:tr>
            <w:tr>
              <w:trPr>
                <w:trHeight w:val="47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(Intercept folio)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0.359</w:t>
                  </w:r>
                </w:p>
              </w:tc>
            </w:tr>
            <w:tr>
              <w:trPr>
                <w:trHeight w:val="473"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SD (Observations)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0.513</w:t>
                  </w:r>
                </w:p>
              </w:tc>
            </w:tr>
            <w:tr>
              <w:trPr>
                <w:trHeight w:val="44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Num.Obs.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1224</w:t>
                  </w:r>
                </w:p>
              </w:tc>
            </w:tr>
            <w:tr>
              <w:trPr>
                <w:trHeight w:val="473"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0.165</w:t>
                  </w:r>
                </w:p>
              </w:tc>
            </w:tr>
            <w:tr>
              <w:trPr>
                <w:trHeight w:val="44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0.440</w:t>
                  </w:r>
                </w:p>
              </w:tc>
            </w:tr>
            <w:tr>
              <w:trPr>
                <w:trHeight w:val="44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5262.5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5269.7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4789.5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3244.1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2245.6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2437.1</w:t>
                  </w:r>
                </w:p>
              </w:tc>
            </w:tr>
            <w:tr>
              <w:trPr>
                <w:trHeight w:val="44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5411.2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5418.4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4938.1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3718.0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2559.7</w:t>
                  </w:r>
                </w:p>
              </w:tc>
            </w:tr>
            <w:tr>
              <w:trPr>
                <w:trHeight w:val="44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w:t>
                  </w:r>
                </w:p>
              </w:tc>
            </w:tr>
            <w:tr>
              <w:trPr>
                <w:trHeight w:val="440" w:hRule="auto"/>
              </w:trPr>
              body39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0.43</w:t>
                  </w:r>
                </w:p>
              </w:tc>
            </w:tr>
            <w:tr>
              <w:trPr>
                <w:trHeight w:val="360" w:hRule="auto"/>
              </w:trPr>
              footer 1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 p &lt; 0.1, * p &lt; 0.05, ** p &lt; 0.01, *** p &lt; 0.001</w:t>
                  </w:r>
                </w:p>
              </w:tc>
            </w:tr>
          </w:tbl>
          <w:bookmarkEnd w:id="135"/>
        </w:tc>
      </w:tr>
    </w:tbl>
    <w:bookmarkEnd w:id="136"/>
    <w:bookmarkStart w:id="138" w:name="tbl-apendice-hetero"/>
    <w:p>
      <w:pPr>
        <w:pStyle w:val="Heading2"/>
      </w:pPr>
      <w:r>
        <w:t xml:space="preserve">9.7 Tabla A6 — Heterogeneidad por terciles</w:t>
      </w:r>
    </w:p>
    <w:tbl>
      <w:tblPr>
        <w:tblStyle w:val="Table"/>
        <w:tblW w:type="pct" w:w="5000"/>
        <w:tblLayout w:type="fixed"/>
        <w:tblLook w:firstRow="0" w:lastRow="0" w:firstColumn="0" w:lastColumn="0" w:noHBand="0" w:noVBand="0" w:val="0000"/>
      </w:tblPr>
      <w:tblGrid>
        <w:gridCol w:w="7920"/>
      </w:tblGrid>
      <w:tr>
        <w:tc>
          <w:tcPr/>
          <w:bookmarkStart w:id="137" w:name="tbl-apendice-hetero"/>
          <w:p>
            <w:pPr>
              <w:jc w:val="center"/>
            </w:pPr>
            <w:pPr>
              <w:jc w:val="start"/>
              <w:spacing w:before="200"/>
              <w:pStyle w:val="ImageCaption"/>
            </w:pPr>
            <w:r>
              <w:t xml:space="preserve">Tabla 19: Efecto DiD por tercil de predominancia identitaria (baseline ola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4"/>
              <w:gridCol w:w="1044"/>
              <w:gridCol w:w="1215"/>
              <w:gridCol w:w="1155"/>
              <w:gridCol w:w="1455"/>
              <w:gridCol w:w="2120"/>
            </w:tblGrid>
            <w:tr>
              <w:trPr>
                <w:trHeight w:val="47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tercil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beta_p</w:t>
                  </w:r>
                </w:p>
              </w:tc>
            </w:tr>
            <w:tr>
              <w:trPr>
                <w:trHeight w:val="47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Nacional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2.3517688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0.6914694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0.0007254196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2,352, *p* = &lt; .001</w:t>
                  </w:r>
                </w:p>
              </w:tc>
            </w:tr>
            <w:tr>
              <w:trPr>
                <w:trHeight w:val="4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Equilibrio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-2.0405038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0.7872308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0.0097808748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-2,041, *p* = ,010</w:t>
                  </w:r>
                </w:p>
              </w:tc>
            </w:tr>
            <w:tr>
              <w:trPr>
                <w:trHeight w:val="47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Control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Étnica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1.5554640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0.5781834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0.0073440232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1,555, *p* = ,007</w:t>
                  </w:r>
                </w:p>
              </w:tc>
            </w:tr>
            <w:tr>
              <w:trPr>
                <w:trHeight w:val="472"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Nacional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1.9541561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0.6976205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0.0052842431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1,954, *p* = ,005</w:t>
                  </w:r>
                </w:p>
              </w:tc>
            </w:tr>
            <w:tr>
              <w:trPr>
                <w:trHeight w:val="472"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Equilibrio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0.7238560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0.8262296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0.3813324601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0,724, *p* = ,381</w:t>
                  </w:r>
                </w:p>
              </w:tc>
            </w:tr>
            <w:tr>
              <w:trPr>
                <w:trHeight w:val="472"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Cambio social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Étnica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0.3840861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0.6722544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0.5679978559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β = 0,384, *p* = ,568</w:t>
                  </w:r>
                </w:p>
              </w:tc>
            </w:tr>
          </w:tbl>
          <w:bookmarkEnd w:id="137"/>
        </w:tc>
      </w:tr>
    </w:tbl>
    <w:bookmarkEnd w:id="138"/>
    <w:bookmarkStart w:id="143" w:name="fig-apendice-coef"/>
    <w:p>
      <w:pPr>
        <w:pStyle w:val="Heading2"/>
      </w:pPr>
      <w:r>
        <w:t xml:space="preserve">9.8 Figura A1 — Coeficientes completos M2</w:t>
      </w:r>
    </w:p>
    <w:tbl>
      <w:tblPr>
        <w:tblStyle w:val="Table"/>
        <w:tblW w:type="pct" w:w="5000"/>
        <w:tblLayout w:type="fixed"/>
        <w:tblLook w:firstRow="0" w:lastRow="0" w:firstColumn="0" w:lastColumn="0" w:noHBand="0" w:noVBand="0" w:val="0000"/>
      </w:tblPr>
      <w:tblGrid>
        <w:gridCol w:w="7920"/>
      </w:tblGrid>
      <w:tr>
        <w:tc>
          <w:tcPr/>
          <w:bookmarkStart w:id="142" w:name="fig-apendice-coef"/>
          <w:p>
            <w:pPr>
              <w:pStyle w:val="Compact"/>
              <w:jc w:val="center"/>
            </w:pPr>
            <w:r>
              <w:drawing>
                <wp:inline>
                  <wp:extent cx="5334000" cy="3692769"/>
                  <wp:effectExtent b="0" l="0" r="0" t="0"/>
                  <wp:docPr descr="" title="" id="140" name="Picture"/>
                  <a:graphic>
                    <a:graphicData uri="http://schemas.openxmlformats.org/drawingml/2006/picture">
                      <pic:pic>
                        <pic:nvPicPr>
                          <pic:cNvPr descr="../output/figuras/fig_coeficientes.png" id="141" name="Picture"/>
                          <pic:cNvPicPr>
                            <a:picLocks noChangeArrowheads="1" noChangeAspect="1"/>
                          </pic:cNvPicPr>
                        </pic:nvPicPr>
                        <pic:blipFill>
                          <a:blip r:embed="rId139"/>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start"/>
              <w:spacing w:before="200"/>
              <w:pStyle w:val="ImageCaption"/>
            </w:pPr>
            <w:r>
              <w:t xml:space="preserve">Figura 10: Efectos fijos del modelo M2 con IC 95% (Apéndice).</w:t>
            </w:r>
          </w:p>
          <w:bookmarkEnd w:id="142"/>
        </w:tc>
      </w:tr>
    </w:tbl>
    <w:bookmarkEnd w:id="143"/>
    <w:bookmarkStart w:id="158" w:name="referencias"/>
    <w:p>
      <w:pPr>
        <w:pStyle w:val="Heading2"/>
      </w:pPr>
      <w:r>
        <w:t xml:space="preserve">Referencias</w:t>
      </w:r>
    </w:p>
    <w:bookmarkStart w:id="157" w:name="refs"/>
    <w:bookmarkStart w:id="144" w:name="ref-bengoa2002"/>
    <w:p>
      <w:pPr>
        <w:pStyle w:val="Bibliography"/>
      </w:pPr>
      <w:r>
        <w:t xml:space="preserve">Bengoa, J. (2002).</w:t>
      </w:r>
      <w:r>
        <w:t xml:space="preserve"> </w:t>
      </w:r>
      <w:r>
        <w:rPr>
          <w:i/>
          <w:iCs/>
        </w:rPr>
        <w:t xml:space="preserve">Historia de un conflicto: El</w:t>
      </w:r>
      <w:r>
        <w:rPr>
          <w:i/>
          <w:iCs/>
        </w:rPr>
        <w:t xml:space="preserve"> </w:t>
      </w:r>
      <w:r>
        <w:rPr>
          <w:i/>
          <w:iCs/>
        </w:rPr>
        <w:t xml:space="preserve">E</w:t>
      </w:r>
      <w:r>
        <w:rPr>
          <w:i/>
          <w:iCs/>
        </w:rPr>
        <w:t xml:space="preserve">stado y los mapuches en el siglo</w:t>
      </w:r>
      <w:r>
        <w:rPr>
          <w:i/>
          <w:iCs/>
        </w:rPr>
        <w:t xml:space="preserve"> </w:t>
      </w:r>
      <w:r>
        <w:rPr>
          <w:i/>
          <w:iCs/>
        </w:rPr>
        <w:t xml:space="preserve">XX</w:t>
      </w:r>
      <w:r>
        <w:t xml:space="preserve">. Planeta.</w:t>
      </w:r>
    </w:p>
    <w:bookmarkEnd w:id="144"/>
    <w:bookmarkStart w:id="146" w:name="ref-blattman2009"/>
    <w:p>
      <w:pPr>
        <w:pStyle w:val="Bibliography"/>
      </w:pPr>
      <w:r>
        <w:t xml:space="preserve">Blattman, C. (2009). From violence to voting: War and political participation in</w:t>
      </w:r>
      <w:r>
        <w:t xml:space="preserve"> </w:t>
      </w:r>
      <w:r>
        <w:t xml:space="preserve">Uganda</w:t>
      </w:r>
      <w:r>
        <w:t xml:space="preserve">.</w:t>
      </w:r>
      <w:r>
        <w:t xml:space="preserve"> </w:t>
      </w:r>
      <w:r>
        <w:rPr>
          <w:i/>
          <w:iCs/>
        </w:rPr>
        <w:t xml:space="preserve">American Political Science Review</w:t>
      </w:r>
      <w:r>
        <w:t xml:space="preserve">,</w:t>
      </w:r>
      <w:r>
        <w:t xml:space="preserve"> </w:t>
      </w:r>
      <w:r>
        <w:rPr>
          <w:i/>
          <w:iCs/>
        </w:rPr>
        <w:t xml:space="preserve">103</w:t>
      </w:r>
      <w:r>
        <w:t xml:space="preserve">(2), 231-247.</w:t>
      </w:r>
      <w:r>
        <w:t xml:space="preserve"> </w:t>
      </w:r>
      <w:hyperlink r:id="rId145">
        <w:r>
          <w:rPr>
            <w:rStyle w:val="Hyperlink"/>
          </w:rPr>
          <w:t xml:space="preserve">https://doi.org/10.1017/S0003055409090212</w:t>
        </w:r>
      </w:hyperlink>
    </w:p>
    <w:bookmarkEnd w:id="146"/>
    <w:bookmarkStart w:id="147" w:name="ref-brewer2001"/>
    <w:p>
      <w:pPr>
        <w:pStyle w:val="Bibliography"/>
      </w:pPr>
      <w:r>
        <w:t xml:space="preserve">Brewer, M. B. (2001). Ingroup identification and intergroup conflict. En R. D. Ashmore, L. Jussim, &amp; D. Wilder (Eds.),</w:t>
      </w:r>
      <w:r>
        <w:t xml:space="preserve"> </w:t>
      </w:r>
      <w:r>
        <w:rPr>
          <w:i/>
          <w:iCs/>
        </w:rPr>
        <w:t xml:space="preserve">Social Identity, Intergroup Conflict, and Conflict Reduction</w:t>
      </w:r>
      <w:r>
        <w:t xml:space="preserve"> </w:t>
      </w:r>
      <w:r>
        <w:t xml:space="preserve">(pp. 17-41). Oxford University Press.</w:t>
      </w:r>
    </w:p>
    <w:bookmarkEnd w:id="147"/>
    <w:bookmarkStart w:id="149" w:name="ref-davenport2007"/>
    <w:p>
      <w:pPr>
        <w:pStyle w:val="Bibliography"/>
      </w:pPr>
      <w:r>
        <w:t xml:space="preserve">Davenport, C. (2007). State repression and political order.</w:t>
      </w:r>
      <w:r>
        <w:t xml:space="preserve"> </w:t>
      </w:r>
      <w:r>
        <w:rPr>
          <w:i/>
          <w:iCs/>
        </w:rPr>
        <w:t xml:space="preserve">Annual Review of Political Science</w:t>
      </w:r>
      <w:r>
        <w:t xml:space="preserve">,</w:t>
      </w:r>
      <w:r>
        <w:t xml:space="preserve"> </w:t>
      </w:r>
      <w:r>
        <w:rPr>
          <w:i/>
          <w:iCs/>
        </w:rPr>
        <w:t xml:space="preserve">10</w:t>
      </w:r>
      <w:r>
        <w:t xml:space="preserve">, 1-23.</w:t>
      </w:r>
      <w:r>
        <w:t xml:space="preserve"> </w:t>
      </w:r>
      <w:hyperlink r:id="rId148">
        <w:r>
          <w:rPr>
            <w:rStyle w:val="Hyperlink"/>
          </w:rPr>
          <w:t xml:space="preserve">https://doi.org/10.1146/annurev.polisci.10.101405.143216</w:t>
        </w:r>
      </w:hyperlink>
    </w:p>
    <w:bookmarkEnd w:id="149"/>
    <w:bookmarkStart w:id="150" w:name="ref-francisco2004"/>
    <w:p>
      <w:pPr>
        <w:pStyle w:val="Bibliography"/>
      </w:pPr>
      <w:r>
        <w:t xml:space="preserve">Francisco, R. A. (2004). After the massacre: Mobilization in the wake of harsh repression.</w:t>
      </w:r>
      <w:r>
        <w:t xml:space="preserve"> </w:t>
      </w:r>
      <w:r>
        <w:rPr>
          <w:i/>
          <w:iCs/>
        </w:rPr>
        <w:t xml:space="preserve">Mobilization</w:t>
      </w:r>
      <w:r>
        <w:t xml:space="preserve">,</w:t>
      </w:r>
      <w:r>
        <w:t xml:space="preserve"> </w:t>
      </w:r>
      <w:r>
        <w:rPr>
          <w:i/>
          <w:iCs/>
        </w:rPr>
        <w:t xml:space="preserve">9</w:t>
      </w:r>
      <w:r>
        <w:t xml:space="preserve">(2), 107-126.</w:t>
      </w:r>
    </w:p>
    <w:bookmarkEnd w:id="150"/>
    <w:bookmarkStart w:id="152" w:name="ref-reicher2004"/>
    <w:p>
      <w:pPr>
        <w:pStyle w:val="Bibliography"/>
      </w:pPr>
      <w:r>
        <w:t xml:space="preserve">Reicher, S. (2004). The context of identity: A psychosocial model of collective action.</w:t>
      </w:r>
      <w:r>
        <w:t xml:space="preserve"> </w:t>
      </w:r>
      <w:r>
        <w:rPr>
          <w:i/>
          <w:iCs/>
        </w:rPr>
        <w:t xml:space="preserve">Psychological Review</w:t>
      </w:r>
      <w:r>
        <w:t xml:space="preserve">,</w:t>
      </w:r>
      <w:r>
        <w:t xml:space="preserve"> </w:t>
      </w:r>
      <w:r>
        <w:rPr>
          <w:i/>
          <w:iCs/>
        </w:rPr>
        <w:t xml:space="preserve">111</w:t>
      </w:r>
      <w:r>
        <w:t xml:space="preserve">(4), 863-876.</w:t>
      </w:r>
      <w:r>
        <w:t xml:space="preserve"> </w:t>
      </w:r>
      <w:hyperlink r:id="rId151">
        <w:r>
          <w:rPr>
            <w:rStyle w:val="Hyperlink"/>
          </w:rPr>
          <w:t xml:space="preserve">https://doi.org/10.1037/0033-295X.111.4.863</w:t>
        </w:r>
      </w:hyperlink>
    </w:p>
    <w:bookmarkEnd w:id="152"/>
    <w:bookmarkStart w:id="153" w:name="ref-richards2013"/>
    <w:p>
      <w:pPr>
        <w:pStyle w:val="Bibliography"/>
      </w:pPr>
      <w:r>
        <w:t xml:space="preserve">Richards, P. (2013).</w:t>
      </w:r>
      <w:r>
        <w:t xml:space="preserve"> </w:t>
      </w:r>
      <w:r>
        <w:rPr>
          <w:i/>
          <w:iCs/>
        </w:rPr>
        <w:t xml:space="preserve">Race and the Chilean Miracle: Neoliberalism, Democracy, and Indigenous Rights</w:t>
      </w:r>
      <w:r>
        <w:t xml:space="preserve">. University of Pittsburgh Press.</w:t>
      </w:r>
    </w:p>
    <w:bookmarkEnd w:id="153"/>
    <w:bookmarkStart w:id="154" w:name="ref-tajfel1979"/>
    <w:p>
      <w:pPr>
        <w:pStyle w:val="Bibliography"/>
      </w:pPr>
      <w:r>
        <w:t xml:space="preserve">Tajfel, H., &amp; Turner, J. C. (1979). An integrative theory of intergroup conflict. En W. G. Austin &amp; S. Worchel (Eds.),</w:t>
      </w:r>
      <w:r>
        <w:t xml:space="preserve"> </w:t>
      </w:r>
      <w:r>
        <w:rPr>
          <w:i/>
          <w:iCs/>
        </w:rPr>
        <w:t xml:space="preserve">The Social Psychology of Intergroup Relations</w:t>
      </w:r>
      <w:r>
        <w:t xml:space="preserve"> </w:t>
      </w:r>
      <w:r>
        <w:t xml:space="preserve">(pp. 33-47). Brooks/Cole.</w:t>
      </w:r>
    </w:p>
    <w:bookmarkEnd w:id="154"/>
    <w:bookmarkStart w:id="155" w:name="ref-tajfel1986"/>
    <w:p>
      <w:pPr>
        <w:pStyle w:val="Bibliography"/>
      </w:pPr>
      <w:r>
        <w:t xml:space="preserve">Tajfel, H., &amp; Turner, J. C. (1986). The social identity theory of intergroup behavior. En S. Worchel &amp; W. G. Austin (Eds.),</w:t>
      </w:r>
      <w:r>
        <w:t xml:space="preserve"> </w:t>
      </w:r>
      <w:r>
        <w:rPr>
          <w:i/>
          <w:iCs/>
        </w:rPr>
        <w:t xml:space="preserve">Psychology of Intergroup Relations</w:t>
      </w:r>
      <w:r>
        <w:t xml:space="preserve"> </w:t>
      </w:r>
      <w:r>
        <w:t xml:space="preserve">(pp. 7-24). Nelson-Hall.</w:t>
      </w:r>
    </w:p>
    <w:bookmarkEnd w:id="155"/>
    <w:bookmarkStart w:id="156" w:name="ref-zaller1992"/>
    <w:p>
      <w:pPr>
        <w:pStyle w:val="Bibliography"/>
      </w:pPr>
      <w:r>
        <w:t xml:space="preserve">Zaller, J. R. (1992).</w:t>
      </w:r>
      <w:r>
        <w:t xml:space="preserve"> </w:t>
      </w:r>
      <w:r>
        <w:rPr>
          <w:i/>
          <w:iCs/>
        </w:rPr>
        <w:t xml:space="preserve">The Nature and Origins of Mass Opinion</w:t>
      </w:r>
      <w:r>
        <w:t xml:space="preserve">. Cambridge University Press.</w:t>
      </w:r>
    </w:p>
    <w:bookmarkEnd w:id="156"/>
    <w:bookmarkEnd w:id="157"/>
    <w:bookmarkEnd w:id="158"/>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Denominado Modelo C en los scripts de análisis; aquí M2 refiere a la especificación DiD completa con tres períodos.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39" Target="media/rId139.png" /><Relationship Type="http://schemas.openxmlformats.org/officeDocument/2006/relationships/image" Id="rId119" Target="media/rId119.png" /><Relationship Type="http://schemas.openxmlformats.org/officeDocument/2006/relationships/image" Id="rId89" Target="media/rId89.png" /><Relationship Type="http://schemas.openxmlformats.org/officeDocument/2006/relationships/image" Id="rId84" Target="media/rId84.png" /><Relationship Type="http://schemas.openxmlformats.org/officeDocument/2006/relationships/image" Id="rId68" Target="media/rId68.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22" Target="media/rId22.png" /><Relationship Type="http://schemas.openxmlformats.org/officeDocument/2006/relationships/hyperlink" Id="rId145" Target="https://doi.org/10.1017/S0003055409090212" TargetMode="External" /><Relationship Type="http://schemas.openxmlformats.org/officeDocument/2006/relationships/hyperlink" Id="rId151" Target="https://doi.org/10.1037/0033-295X.111.4.863" TargetMode="External" /><Relationship Type="http://schemas.openxmlformats.org/officeDocument/2006/relationships/hyperlink" Id="rId148" Target="https://doi.org/10.1146/annurev.polisci.10.101405.143216" TargetMode="External" /></Relationships>
</file>

<file path=word/_rels/footnotes.xml.rels><?xml version="1.0" encoding="UTF-8"?><Relationships xmlns="http://schemas.openxmlformats.org/package/2006/relationships"><Relationship Type="http://schemas.openxmlformats.org/officeDocument/2006/relationships/hyperlink" Id="rId145" Target="https://doi.org/10.1017/S0003055409090212" TargetMode="External" /><Relationship Type="http://schemas.openxmlformats.org/officeDocument/2006/relationships/hyperlink" Id="rId151" Target="https://doi.org/10.1037/0033-295X.111.4.863" TargetMode="External" /><Relationship Type="http://schemas.openxmlformats.org/officeDocument/2006/relationships/hyperlink" Id="rId148" Target="https://doi.org/10.1146/annurev.polisci.10.101405.1432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Apertura normativa y contención fallida: estallido social, estado de excepción y justificación de la violencia en el conflicto mapuche (2018–2023)</dc:title>
  <dc:creator>Matías Deneken; Federico Díaz</dc:creator>
  <dc:language>es</dc:language>
  <cp:keywords/>
  <dcterms:created xsi:type="dcterms:W3CDTF">2026-05-26T11:18:08Z</dcterms:created>
  <dcterms:modified xsi:type="dcterms:W3CDTF">2026-05-26T11:18:08Z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2026-05-26</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Tabla de contenidos</vt:lpwstr>
  </property>
</Properties>
</file>