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5"/>
        <w:gridCol w:w="2267"/>
        <w:gridCol w:w="1834"/>
        <w:gridCol w:w="1767"/>
        <w:gridCol w:w="1690"/>
        <w:gridCol w:w="1080"/>
      </w:tblGrid>
      <w:tr>
        <w:trPr>
          <w:trHeight w:val="600" w:hRule="auto"/>
          <w:tblHeader/>
        </w:trPr>
        header1
        <w:tc>
          <w:tcPr>
            <w:gridSpan w:val="6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Heterogeneidad del efecto DiD por predominancia identitaria baseline</w:t>
            </w:r>
          </w:p>
        </w:tc>
      </w:tr>
      <w:tr>
        <w:trPr>
          <w:trHeight w:val="600" w:hRule="auto"/>
          <w:tblHeader/>
        </w:trPr>
        header2
        <w:tc>
          <w:tcPr>
            <w:gridSpan w:val="6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Modelos mixtos DiD (Modelo C) estratificados por tercil</w:t>
            </w:r>
          </w:p>
        </w:tc>
      </w:tr>
      <w:tr>
        <w:trPr>
          <w:trHeight w:val="599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 dependiente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Tercil predominancia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β (SE)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 95%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p-valor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</w:t>
            </w:r>
          </w:p>
        </w:tc>
      </w:tr>
      <w:tr>
        <w:trPr>
          <w:trHeight w:val="597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Justifica violencia de 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2.352 (0.691)***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[0.993, 3.710]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0.0007254196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538</w:t>
            </w:r>
          </w:p>
        </w:tc>
      </w:tr>
      <w:tr>
        <w:trPr>
          <w:trHeight w:val="597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Equilibrio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-2.041 (0.787)**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[-3.587, -0.494]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0.0097808748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698</w:t>
            </w:r>
          </w:p>
        </w:tc>
      </w:tr>
      <w:tr>
        <w:trPr>
          <w:trHeight w:val="597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Étnica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1.555 (0.578)**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[0.420, 2.691]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0.0073440232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744</w:t>
            </w:r>
          </w:p>
        </w:tc>
      </w:tr>
      <w:tr>
        <w:trPr>
          <w:trHeight w:val="597" w:hRule="auto"/>
        </w:trPr>
        body4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Justifica violencia de cambio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1.954 (0.698)**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[0.584, 3.325]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0.0052842431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538</w:t>
            </w:r>
          </w:p>
        </w:tc>
      </w:tr>
      <w:tr>
        <w:trPr>
          <w:trHeight w:val="597" w:hRule="auto"/>
        </w:trPr>
        body5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Equilibrio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0.724 (0.826)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[-0.899, 2.347]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0.3813324601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698</w:t>
            </w:r>
          </w:p>
        </w:tc>
      </w:tr>
      <w:tr>
        <w:trPr>
          <w:trHeight w:val="597" w:hRule="auto"/>
        </w:trPr>
        body6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Étnica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0.384 (0.672)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[-0.936, 1.705]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0.5679978559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744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Nota: Predominancia = (id_étnica − id_nacional) fijada en baseline (ola 2).</w:t>
            </w:r>
          </w:p>
        </w:tc>
      </w:tr>
      <w:tr>
        <w:trPr>
          <w:trHeight w:val="360" w:hRule="auto"/>
        </w:trPr>
        footer2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Tercil 1 (Nacional) = predomina id. nacional; Tercil 2 (Equilibrio) = mixta; Tercil 3 (Étnica) = predomina id. étnica.</w:t>
            </w:r>
          </w:p>
        </w:tc>
      </w:tr>
      <w:tr>
        <w:trPr>
          <w:trHeight w:val="360" w:hRule="auto"/>
        </w:trPr>
        footer3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Controles: mujer + edad + urbano_rural + id_chile + id_causa + perc_desigualdad + perc_injusticia + malestar_diferen + apoyo_movil. *** p&lt;0.001, ** p&lt;0.01, * p&lt;0.05</w:t>
            </w:r>
          </w:p>
        </w:tc>
      </w:tr>
      <w:tr>
        <w:trPr>
          <w:trHeight w:val="360" w:hRule="auto"/>
        </w:trPr>
        footer4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Fuente: ELRI panel balanceado (olas 2-4). Término DiD: periodo×indigeneous×zona_decreto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matdknu</cp:lastModifiedBy>
  <cp:revision>9</cp:revision>
  <dcterms:created xsi:type="dcterms:W3CDTF">2017-02-28T11:18:00Z</dcterms:created>
  <dcterms:modified xsi:type="dcterms:W3CDTF">2026-05-25T17:24:13Z</dcterms:modified>
  <cp:category/>
</cp:coreProperties>
</file>