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085"/>
        <w:gridCol w:w="1455"/>
        <w:gridCol w:w="1665"/>
        <w:gridCol w:w="1485"/>
        <w:gridCol w:w="1275"/>
        <w:tblGridChange w:id="0">
          <w:tblGrid>
            <w:gridCol w:w="1065"/>
            <w:gridCol w:w="2085"/>
            <w:gridCol w:w="1455"/>
            <w:gridCol w:w="1665"/>
            <w:gridCol w:w="1485"/>
            <w:gridCol w:w="127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 A.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 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0" w:firstLine="72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2"/>
          <w:szCs w:val="32"/>
          <w:rtl w:val="0"/>
        </w:rPr>
        <w:t xml:space="preserve">INFORME DE PERFORMANCE DEL TRABAJO 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Ind w:w="25.0" w:type="dxa"/>
        <w:tblLayout w:type="fixed"/>
        <w:tblLook w:val="0000"/>
      </w:tblPr>
      <w:tblGrid>
        <w:gridCol w:w="6165"/>
        <w:gridCol w:w="3585"/>
        <w:tblGridChange w:id="0">
          <w:tblGrid>
            <w:gridCol w:w="6165"/>
            <w:gridCol w:w="358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Estado de avance del Cronograma por Fase y Entregable (12/11/2017)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Recursos Utilizados al cierre del 1 Informe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Fases concluidas:                                                            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Iniciación: Acta de constitución                   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Planificación del Proyecto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Captura de requerimientos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cronograma del proyecto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presupuesto del proyecto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Documentación de riesgos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Contrato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Fases en ejecución: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Ejecución del proyecto (Terminada T - Sin Realizar SR)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Reunion de coordinacion grupal 5 (T)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Casos de uso de software (T)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de casos de uso (T)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Adquisición de software y aplicaciones (T)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Preparación de ambiente de desarrollo (T)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Prototipos funcionales (T)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Reunión mensual de coordinación (T)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ABM Admin (SR)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Modulo de busqueda (T)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idiomas (SR)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 geolocalización (T)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descarga (T)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Entrega de avance N° 1 (SR)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descarga de itinerario (SR)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Implementación de módulo reproductor de audio (T)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2"/>
              </w:numPr>
              <w:spacing w:after="0" w:line="241" w:lineRule="auto"/>
              <w:ind w:left="1440" w:hanging="36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Módulo de usuario(SR)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1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Fase realizada un 68,75%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41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Fases sin realizar: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Fase de Testeo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Cierre de Proyecto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$10.040,00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$29.020,00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$22.780,00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17.260,00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$8.080,00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$16.880,00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$12.880,00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$7.920,00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$1.440,00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$5.840,00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$9.600,00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$32.000,00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$4800,00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$8.000,00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$6.600,00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after="0" w:line="241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$6.600,00</w:t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$202.660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 momento </w:t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 informe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1820" w:firstLine="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Análisis -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INTERPRETACIÓN DE LOS RESULTADOS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 momento del informe los gastos percibidos son correspondientes a los gastos autorizados, sin presentarse desviación, estos cálculos constan en el anexo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Informe-costos.ods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1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Variaciones: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La variación del costo CV (cost variance)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CV= EV - 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202.660,00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$202.660,00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$0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• La variación del cronograma SV (schedule variance)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SV= EV-PV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$202.660,00 -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$302.360,00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-$99.700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Se está retrasado de acuerdo al cronograma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Indices: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Índice del desempeño de costos CPI (Cost Performance Index)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CPI= EV/AC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$202.660,00/$202.660,00= 1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está obteniendo un valor de $1 por cada $1 invertido.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Índice de desempeño del cronograma SPI (Schedule Performance Index)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SPI= EV/PV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$202.660,00/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$302.360,00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0,670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está progresando al 67% del nivel planeado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Índice Costo – Cronograma (CSI)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= Nos da una relación entre el costo y el cronograma. Para saber qué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posibilidades tenemos de recuperar nuestro proyecto en posibles desvíos.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CSI = CPI * SPI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1 * 0,670 = 0,670 (Peligroso, para arreglar)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0" w:line="241" w:lineRule="auto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Pronósticos: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Estimación a la conclusión EAC (Estimate at completion)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EAC= AC + [(BAC - EV)/(CPI *SPI)]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=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$202.660,00+[($302.360,00-$202.660,00)/(1*0,670)]= $351.408,11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estima que todo el proyecto costará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$351.408,11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Estimación hasta la conclusión ETC (Estimate to complete)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ETC= EAC - 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$351.408,11 - $202.660,00= $148.748,11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necesita gastar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$148.748,11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terminar el proyecto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• Variación a la Conclusión VAC (Variation at Completion)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VAC= BAC - EAC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$302.360,00 - $351.408,11 = -$49.049,11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Se espera no exceder en el presupuesto cuando el proyecto se complete.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La variación relativa al presupuesto aprobado calculado como porcentaje sería: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VAC%=VAC/BAC = $49.049,11/$302.360,00= 0,16 = 16%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VAC% nos indica cuánto nos hemos excedido en el presupuesto autorizado.       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• Índice de Desempeño del Trabajo por Completar TCPI (To Conclude Performance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Index)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1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TCPI= (BAC - EV)/ (BAC - AC)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= ($302.360-202.660)/($302.360-$202.660)= 1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1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Debe obtenerse $1 por cada $1 que se ponga al proyecto en el trabajo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0"/>
      <w:pgMar w:bottom="684" w:top="1440" w:left="1080" w:right="10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widowControl w:val="0"/>
      <w:tabs>
        <w:tab w:val="center" w:pos="4419"/>
        <w:tab w:val="right" w:pos="8838"/>
      </w:tabs>
      <w:spacing w:after="0" w:before="709" w:lineRule="auto"/>
      <w:ind w:left="1440" w:firstLine="720"/>
      <w:rPr/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2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  <w:t xml:space="preserve">   </w:t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Informe de Performance del Trabajo N 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1314450</wp:posOffset>
              </wp:positionV>
              <wp:extent cx="5753100" cy="1812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1314450</wp:posOffset>
              </wp:positionV>
              <wp:extent cx="5753100" cy="1812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