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085"/>
        <w:gridCol w:w="1455"/>
        <w:gridCol w:w="1665"/>
        <w:gridCol w:w="1485"/>
        <w:gridCol w:w="1275"/>
        <w:tblGridChange w:id="0">
          <w:tblGrid>
            <w:gridCol w:w="1065"/>
            <w:gridCol w:w="2085"/>
            <w:gridCol w:w="1455"/>
            <w:gridCol w:w="1665"/>
            <w:gridCol w:w="1485"/>
            <w:gridCol w:w="127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 A.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0" w:firstLine="72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INFORME DE PERFORMANCE DEL TRABAJO 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1820" w:firstLine="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80"/>
        <w:gridCol w:w="4880"/>
        <w:tblGridChange w:id="0">
          <w:tblGrid>
            <w:gridCol w:w="4880"/>
            <w:gridCol w:w="4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Estado de avance del Cronograma por Fase y Entregable (29/11/2017)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Recursos Utilizados al cierre del 2°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Fases Concluidas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Iniciación: Acta de constitución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$10.040,00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$29.020,00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Captura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$22.780,00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17.260,00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presupuesto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$8.080,00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$16.880,00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$12.880,00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Ejecución de Proyecto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$134.120,00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Fases sin realizar: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 de Testeo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(Realizado 55%)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$6.600,00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Corrección (Realizado 40.25%)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$6.400,00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Fases sin realizar: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Cierre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1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Total: $264.060</w:t>
              <w:br w:type="textWrapping"/>
              <w:t xml:space="preserve">al momento </w:t>
              <w:br w:type="textWrapping"/>
              <w:t xml:space="preserve">del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1820" w:firstLine="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Análisis 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INTERPRETACIÓN DE LOS 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momento del informe los gastos percibidos son correspondientes a los gastos autorizados, sin presentarse desviación, estos cálculos constan en el anexo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Informe-costos.ods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1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Variaciones: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La variación del costo CV (cost variance)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CV= EV - AC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$264.060,00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$264.060,00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= $0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• La variación del cronograma SV (schedule variance)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SV= EV-PV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$264.060,00 -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$302.360,00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-$38.300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Se está retrasado de acuerdo al cronograma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Indices: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Índice del desempeño de costos CPI (Cost Performance Index)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CPI= EV/AC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= $264.060,00/$264.060,00= 1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está obteniendo un valor de $1 por cada $1 invertido.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Índice de desempeño del cronograma SPI (Schedule Performance Index)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SPI= EV/PV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$264.060,00/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$302.360,00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0,8733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está progresando al 87,3% del nivel planeado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Índice Costo – Cronograma (CSI)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= Nos da una relación entre el costo y el cronograma. Para saber qué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posibilidades tenemos de recuperar nuestro proyecto en posibles desvíos.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CSI = CPI * SPI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1 * 0,8733 = 0,8733 (Peligroso, para arreglar)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1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Pronósticos: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Estimación a la conclusión EAC (Estimate at completion)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1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EAC= AC + [(BAC - EV)/(CPI *SPI)]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=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$264.060,00+[($302.360,00-$264.060,00)/(1*0,8733)]= $307.916,6357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estima que todo el proyecto costará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$307.916,6357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Estimación hasta la conclusión ETC (Estimate to complete)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ETC= EAC - AC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$307.916,6357 - $264.060,00= $43.856,6357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necesita gastar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$43.856,6357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terminar el proyecto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Variación a la Conclusión VAC (Variation at Completion)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VAC= BAC - EAC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$302.360,00 - $307.916,6357 = -$5.556,6357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espera no exceder en el presupuesto cuando el proyecto se complete.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La variación relativa al presupuesto aprobado calculado como porcentaje sería: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VAC%=VAC/BAC = $5.556,6357/$302.360,00= 0,0183 = 1,83%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VAC% nos indica cuánto nos hemos excedido en el presupuesto autorizado.   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• Índice de Desempeño del Trabajo por Completar TCPI (To Conclude Performance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Index)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TCPI= (BAC - EV)/ (BAC - AC)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($302.360- 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264.060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)/($302.360-$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264.060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)= 1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1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Debe obtenerse $1 por cada $1 que se ponga al proyecto en el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/>
      <w:pgMar w:bottom="684" w:top="1440" w:left="1080" w:right="10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widowControl w:val="0"/>
      <w:tabs>
        <w:tab w:val="center" w:pos="4419"/>
        <w:tab w:val="right" w:pos="8838"/>
      </w:tabs>
      <w:spacing w:after="0" w:before="709" w:lineRule="auto"/>
      <w:ind w:left="1440" w:firstLine="720"/>
      <w:rPr/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  <w:t xml:space="preserve">   </w:t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Informe de Performance del Trabajo N 2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1314450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1314450</wp:posOffset>
              </wp:positionV>
              <wp:extent cx="5753100" cy="18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