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Estructura de Desglose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Trabajo (EDT)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48"/>
          <w:szCs w:val="48"/>
          <w:rtl w:val="0"/>
        </w:rPr>
        <w:t xml:space="preserve">DIAGONAPP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48"/>
          <w:szCs w:val="48"/>
          <w:rtl w:val="0"/>
        </w:rPr>
        <w:t xml:space="preserve"> [26/05/2017]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Vista Jerárquica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Vista de Árbol (opcional)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Diccionario EDT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Base Teórica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30j0zll" w:id="1"/>
      <w:bookmarkEnd w:id="1"/>
      <w:r w:rsidDel="00000000" w:rsidR="00000000" w:rsidRPr="00000000">
        <w:rPr>
          <w:color w:val="4a86e8"/>
          <w:rtl w:val="0"/>
        </w:rPr>
        <w:t xml:space="preserve">Información del Proyecto</w:t>
      </w:r>
    </w:p>
    <w:tbl>
      <w:tblPr>
        <w:tblStyle w:val="Table1"/>
        <w:bidiVisual w:val="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UTN Facultad Regional La Plata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DIAGONAPP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U.T.N. Facultad Regional La Plata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fpxddajchk4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1fob9te" w:id="3"/>
      <w:bookmarkEnd w:id="3"/>
      <w:r w:rsidDel="00000000" w:rsidR="00000000" w:rsidRPr="00000000">
        <w:rPr>
          <w:color w:val="4a86e8"/>
          <w:rtl w:val="0"/>
        </w:rPr>
        <w:t xml:space="preserve">Vista Jerárquica</w:t>
      </w:r>
    </w:p>
    <w:tbl>
      <w:tblPr>
        <w:tblStyle w:val="Table2"/>
        <w:bidiVisual w:val="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DIAGONAPP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spacing w:after="0" w:line="240" w:lineRule="auto"/>
              <w:ind w:left="792" w:hanging="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 de Análisis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Especificación Funcional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spacing w:after="0" w:line="240" w:lineRule="auto"/>
              <w:ind w:left="792" w:hanging="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 de Diseño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Especificación de Diseño Funcional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Especificación de Diseño Técnico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de Casos de Prueba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Planificación del Proyecto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spacing w:after="0" w:line="240" w:lineRule="auto"/>
              <w:ind w:left="792" w:hanging="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Software Desarrollado e Instalado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Preparación de ambiente de desarrollo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Módulo 1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 de Datos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Lógica de Negocio (Middleware)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Presentación e Interfaz con el usuario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spacing w:after="0" w:line="240" w:lineRule="auto"/>
              <w:ind w:left="792" w:hanging="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Reportes de Prueba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Ambiente de Pruebas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Preparación del Ambiente de Pruebas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Módulos instalados en el Ambiente de Pruebas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Reportes de Pruebas Integrales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Pruebas del Módulo 1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Reportes de Pruebas de Aceptación de Usuario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Aceptación del Módulo 1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Reportes de Certificaciones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Certificación de Aseguramiento de Calidad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Certificación de Seguridad Informática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pBdr/>
              <w:spacing w:after="0" w:line="240" w:lineRule="auto"/>
              <w:ind w:left="1728" w:hanging="648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Otras Certificaciones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spacing w:after="0" w:line="240" w:lineRule="auto"/>
              <w:ind w:left="792" w:hanging="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 de Entrega a Operaciones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 de Puesta en Producción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Pruebas Posproducción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pBdr/>
              <w:spacing w:after="0" w:line="240" w:lineRule="auto"/>
              <w:ind w:left="1224" w:hanging="504.00000000000006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4a86e8"/>
          <w:rtl w:val="0"/>
        </w:rPr>
        <w:t xml:space="preserve">Vista de Árbol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drawing>
                <wp:inline distB="114300" distT="114300" distL="114300" distR="114300">
                  <wp:extent cx="6311265" cy="24479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-22966" l="0" r="-152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265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534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5vrpyk5nw9g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2et92p0" w:id="6"/>
      <w:bookmarkEnd w:id="6"/>
      <w:r w:rsidDel="00000000" w:rsidR="00000000" w:rsidRPr="00000000">
        <w:rPr>
          <w:color w:val="4a86e8"/>
          <w:rtl w:val="0"/>
        </w:rPr>
        <w:t xml:space="preserve">Diccionario EDT</w:t>
      </w:r>
    </w:p>
    <w:tbl>
      <w:tblPr>
        <w:tblStyle w:val="Table4"/>
        <w:bidiVisual w:val="0"/>
        <w:tblW w:w="894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3015"/>
        <w:gridCol w:w="3015"/>
        <w:tblGridChange w:id="0">
          <w:tblGrid>
            <w:gridCol w:w="2910"/>
            <w:gridCol w:w="3015"/>
            <w:gridCol w:w="30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Análisis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Especificación Funcional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Especificar las principales funcionalidades del proyecto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fj7cdlj8s97v" w:id="7"/>
            <w:bookmarkEnd w:id="7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Determinar los requerimientos funcionales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6jf1r26jo4gu" w:id="8"/>
            <w:bookmarkEnd w:id="8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Determinar los requerimientos No funcionales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Documento de Diseño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Especificación de Diseño Funcional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Definir y formalizar el diseño funcional de la aplicación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Especificación de Diseño Técnico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6a8peiwbipru" w:id="9"/>
            <w:bookmarkEnd w:id="9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Definir y formalizar el diseño técnico de la aplicación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Diseño de Casos de Prueba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Evaluar y definir los caso de prueba para las diferentes funcionalidades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Planificación del Proyecto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inicio de la fase de planificación del proyecto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Software Desarrollado e Instalado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Preparación de ambiente de desarrollo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Instalacion y configuracion de las diferentes herramientas de desarrollo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Módulo 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Creación de los diferentes módulos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1.3.2.1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Definición del modelo de datos y creación de tablas correspondientes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1.3.2.2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Lógica de Negocio (Middleware)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Definir las lógicas internas y funcionalidades de los módulos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1.3.2.3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Presentación e Interfaz con el usuario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Definición de Interfaz y feedback del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Reportes de Prueba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Ambiente de Pruebas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Configuración de las herramientas de testeo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1.4.1.1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Preparación del Ambiente de Pruebas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Preparación del hardware  y software de testeo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1.4.1.2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Módulos instalados en el Ambiente de Pruebas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Implantación del ambiente de prueba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Reportes de Pruebas Integrales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ed95hve6j5g2" w:id="10"/>
            <w:bookmarkEnd w:id="10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Formalización y reportes de los test obtenidos.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1.4.2.1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Pruebas del Módulo 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Informes realizados sobre los módulos testeados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Reportes de Pruebas de Aceptación de Usuario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Formalización del feedback del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1.4.3.1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Aceptación del Módulo 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1.4.4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Reportes de Certificaciones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Analisis de certificación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1.4.4.1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Certificación de Aseguramiento de Calidad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Auditoría interna de calidad sobre el desarrollo y funcionamiento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1.4.4.2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Certificación de Seguridad Informática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Auditoría interna de seguridad interna de la aplicación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1.4.4.3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Otras Certificaciones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Auditorías varias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Documento de Entrega a Operaciones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 de Puesta en Producción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Reporte de inicio la puesta en producción de los sistemas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Pruebas Posproducción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Testeos finales en el ambiente final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1.5.3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Garantía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Puesta final en producción con el correcto funcionamiento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k2kxzfrq5vv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4a86e8"/>
        </w:rPr>
      </w:pPr>
      <w:bookmarkStart w:colFirst="0" w:colLast="0" w:name="_tyjcwt" w:id="12"/>
      <w:bookmarkEnd w:id="12"/>
      <w:r w:rsidDel="00000000" w:rsidR="00000000" w:rsidRPr="00000000">
        <w:rPr>
          <w:color w:val="4a86e8"/>
          <w:rtl w:val="0"/>
        </w:rPr>
        <w:t xml:space="preserve">Aprobaciones</w:t>
      </w:r>
    </w:p>
    <w:tbl>
      <w:tblPr>
        <w:tblStyle w:val="Table5"/>
        <w:bidiVisual w:val="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Aprobador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Firma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985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909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09" w:lineRule="auto"/>
      <w:ind w:left="1440" w:firstLine="720"/>
      <w:contextualSpacing w:val="0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drawing>
        <wp:inline distB="114300" distT="114300" distL="114300" distR="114300">
          <wp:extent cx="2013585" cy="588010"/>
          <wp:effectExtent b="0" l="0" r="0" t="0"/>
          <wp:docPr descr="images.png" id="2" name="image4.png"/>
          <a:graphic>
            <a:graphicData uri="http://schemas.openxmlformats.org/drawingml/2006/picture">
              <pic:pic>
                <pic:nvPicPr>
                  <pic:cNvPr descr="images.png" id="0" name="image4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2"/>
        <w:szCs w:val="22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Rule="auto"/>
      <w:contextualSpacing w:val="0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Estructura de desglose del trabajo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Rule="auto"/>
      <w:contextualSpacing w:val="0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-140969</wp:posOffset>
              </wp:positionH>
              <wp:positionV relativeFrom="paragraph">
                <wp:posOffset>47625</wp:posOffset>
              </wp:positionV>
              <wp:extent cx="5753100" cy="1812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19"/>
                        <a:ext cx="5722619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-140969</wp:posOffset>
              </wp:positionH>
              <wp:positionV relativeFrom="paragraph">
                <wp:posOffset>47625</wp:posOffset>
              </wp:positionV>
              <wp:extent cx="5753100" cy="1812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