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</w:pPr>
      <w:r>
        <w:rPr>
          <w:rFonts w:ascii="Calibri" w:hAnsi="Calibri" w:eastAsia="Microsoft YaHei"/>
          <w:b/>
          <w:color w:val="606C7A"/>
          <w:sz w:val="22"/>
        </w:rPr>
        <w:t>项目实施方案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6"/>
        </w:rPr>
        <w:t>北京公交集团票务综合管理平台系统升级</w:t>
      </w:r>
    </w:p>
    <w:p>
      <w:pPr>
        <w:spacing w:after="280"/>
      </w:pPr>
      <w:r>
        <w:rPr>
          <w:rFonts w:ascii="Calibri" w:hAnsi="Calibri" w:eastAsia="Microsoft YaHei"/>
          <w:color w:val="606C7A"/>
          <w:sz w:val="30"/>
        </w:rPr>
        <w:t>Vibe Coding 实施方案与工作量清单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文档用途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用于项目立项、排期、报价拆分、研发组织和验收范围确认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2026-05-08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需求来源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北京公交集团票务综合管理平台系统升级需求分析说明书（初稿0506）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估算口径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包含需求深化、设计、开发、自测、联调、迁移、测试配合和上线支持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简要结论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本项目按完整重构口径约 97 个功能项，正常开发工作量约 579-1270 人日。采用 Vibe Coding 协同方式后，可将重复代码、测试样例、文档和脚手架类工作压缩，执行工作量约 376-953 人日，但票据规则、报表口径、数据迁移和上线验收仍需人工主导。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一、简要评估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建议口径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功能规模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97 个功能项，覆盖 14 个一级模块，含基础资料、票库、票柜、票单、退票、充值、报表、系统管理等。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正常团队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10-12 人，8-10 个月完成；包含产品、前端、后端、数据迁移、测试、实施。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Vibe Coding 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7-9 人，7-8 个月完成；前提是需求冻结、接口材料及时、测试自动化和人工评审到位。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核心难点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票号段连续性、库存流水、票单结算、报表口径、数据权限、历史数据迁移、国产化适配。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报价建议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完整建设建议按 450-650 万区间，稳妥报价点 520-580 万；电子签章、等保测评、第三方授权另列。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二、模块工作量简表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功能项数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正常人日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协同后人日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基础信息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44-88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29-66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主数据维护和外部同步，是后续业务依赖。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申请管理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28-62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18-46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审核管理（集团）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28-62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18-46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票库管理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16-40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票柜管理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26-68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82-164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53-123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票袋、配票、结算、重新结算、票号追溯，是核心复杂域。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充值卡管理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23-60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68-160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44-120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统计报表（分公司）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84-198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55-149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23-63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综合业务管理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33-67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21-50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系统管理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30-70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20-52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全局权限、菜单、日志、阈值，是平台底座。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三、Vibe Coding 实施方式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本方案中的 Vibe Coding 不是直接让工具一次性生成完整系统，而是把需求、设计、编码、测试、文档拆成小批量可验证任务。每个功能都按照“需求卡片 - 数据结构 - 接口 - 页面 - 测试 - 评审 - 合并”的节奏推进。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需求卡片化：每个页面或业务动作形成独立任务，明确角色、数据范围、输入输出、状态和验收标准。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先底座后业务：先完成认证、菜单、权限、字典、日志、导入导出、文件存储等平台能力。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核心域手工建模：票据库存、票号段、结算、退票、调账等领域模型由架构师和业务人员先确认，再进入编码。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批量生成常规代码：常规列表、表单、接口、DTO、Mapper、权限按钮、导入模板可以批量生成并统一 review。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测试前置：每个核心业务先写状态流转和金额/张数计算测试，避免只实现页面不验证账务逻辑。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小步交付：每个模块独立演示、独立验收、独立回归，不把问题积压到总体验收阶段。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四、实施步骤简表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0. 需求深化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需求清单、业务流程、角色权限、报表口径、接口范围、迁移对象确认。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需求矩阵、原型、报表口径表、接口清单、迁移清单。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 平台底座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登录、用户、角色、菜单、数据权限、日志、字典、阈值、消息、文件导入导出。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可登录可授权的基础系统。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 基础与库存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8-10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基础资料、票库、票柜、审批、库存余额和流水。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库存闭环 MVP。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3. 票单核心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票袋、配票、结算、重新结算、退票、票号查询。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票务室核心业务闭环。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4. 扩展业务与报表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8-10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无人售、充值、特殊业务、集团/分公司/票务室报表。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完整业务与统计能力。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5. 联调上线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8-10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数据迁移、接口联调、UAT、性能、安全整改、上线演练。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生产上线版本与运维交接材料。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五、关键设计细节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库存与票号设计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采用“库存余额表 + 库存流水表 + 业务单据表”三层模型，不以单一库存字段承载全部业务历史。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票号段字段统一包含票价、票种、票组、起号、止号、张数、状态、库存主体、来源单据。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所有出入库动作必须写流水，流水记录来源、目标、数量、金额、操作人、操作时间和业务原因。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连续票号段需校验重叠、断号、越界、已核销、已退票、已结算等状态。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重新结算不得覆盖原记录，应形成更正单据和差异流水，保证历史可追溯。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权限与数据范围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权限拆分为菜单权限、按钮权限、接口权限、数据范围权限和导出权限。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集团管理员可分配全局权限；集团操作员按授权查看部分分公司；分公司角色默认本分公司；票务室角色只看本票务室。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后端查询必须统一注入数据范围条件，不能只依赖前端隐藏菜单。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导出、打印、报表接口必须复用同一套数据权限规则。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5.3 报表设计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每张报表上线前先确认指标定义、筛选条件、统计维度、取数来源、金额精度、导出格式。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集团和分公司同类报表尽量合并，用数据权限和维度字段控制展示结果。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高频报表建立日汇总/月汇总表，避免每次查询实时扫大量流水。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报表验收必须使用旧系统样例数据做金额和张数比对。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5.4 数据迁移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迁移对象包括 Oracle 表、序列、视图、函数、历史业务数据和必要附件。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先做数据体检，输出重复票号、缺失组织、异常状态、金额不平、非法日期等问题清单。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至少执行三轮迁移演练：开发、测试、准生产，每轮生成记录数、金额、票号覆盖和异常清单。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上线割接需要冻结旧系统写入、执行增量迁移、业务抽样核验，并保留回滚方案。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六、部署与可运维性设计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本项目属于票务核心管理系统，部署和运维能力应在一期同步设计，不能等到开发完成后补。运维设计目标是：可部署、可监控、可审计、可备份、可恢复、可灰度、可回滚。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运维领域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设计要求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工作量建议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环境规划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至少规划开发、测试、预生产、生产四类环境；生产采用应用服务与数据库分离部署，数据库主备。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国产化适配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适配达梦数据库、国产服务器操作系统、国产中间件或 Nginx/应用服务部署要求，提前验证驱动和 SQL 兼容性。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配置管理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数据库连接、文件存储、外部接口、导入目录、日志级别、任务开关全部配置化，避免写死在代码中。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CI/CD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建立构建、单元测试、打包、制品归档、部署脚本流程；生产部署需支持版本标记和回滚。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日志审计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区分业务操作日志、登录日志、接口日志、导入导出日志、系统错误日志；关键单据状态变化必须可追溯。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监控告警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监控应用存活、接口耗时、数据库连接池、慢 SQL、磁盘空间、导入任务、定时任务和异常错误率。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数据库全量/增量备份，导入文件和导出附件备份，定期恢复演练，形成恢复时间目标。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12-20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上线回滚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上线前冻结窗口、迁移脚本、冒烟检查、业务抽样、失败回滚、旧系统只读策略均需预案。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运维交接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提供部署手册、配置手册、巡检手册、常见问题、数据恢复手册和接口联调手册。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10-18 人日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部署工作量口径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部署与运维建设建议单独预留 120-200 人日。如果甲方要求等保测评、密评配合、信创测评、双活容灾或第三方运维平台对接，应另行增加专项工作量和报价。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七、详细功能项清单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以下清单按需求文档附录逐项展开。正常人日为完整开发、自测、联调配合口径；协同后人日为采用 Vibe Coding 方式后的执行估算，不包含甲方等待、接口资料延迟和重大需求变更。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224" w:left="1296" w:header="648" w:footer="64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详细功能项与工作量估算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序号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模块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功能页面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现有功能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开发内容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正常人日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协同后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难点/备注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查询、新建、修改、删除、绑定车队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线路管理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票价管理（集团账号）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票价管理（集团账号）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车辆管理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车辆管理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司售管理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司售管理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机具查询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查询维护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机具查询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3-6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2.0-4.5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以查询、筛选、详情、导出或基础维护为主。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模版下载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下载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模版下载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调账审核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配票申请管理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申请、详细查看、主动配票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配票申请管理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票务室调票管理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调票、详细查看、单张/批量调票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票务室调票管理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添加、更换线路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票单配票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票单配票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打印配票单、打印结算单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票单打印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票袋调票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票袋调票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无人售管理（线路）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无人售管理（线路）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无人售管理（车辆）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无人售管理（车辆）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票单重新结算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重新结算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票单重新结算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票号查询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9.1-19.5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查询、分发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分公司IC卡入库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分公司IC卡入库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查询、退回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网点IC卡售出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售出记录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网点IC卡售出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统计查询、生成日报表、删除日报表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月终结算报表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月终结算报表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统计查询、按阶段导出excel、导出excel、录入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IC卡充值网点统报表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IC卡充值网点统报表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充值点充值卡盘点表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充值点充值卡盘点表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分公司收入核对报表（分公司权限）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分公司收入核对报表（分公司权限）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票务室日结报表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票务室日结报表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票袋结存报表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票袋结存报表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票务室交班对账表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票务室交班对账表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票款实交银行登记表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统计查询、结账、删除、导出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票款实交银行登记表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充值卡/发票管理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充值卡/发票管理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充值收入管理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添加、充值导入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充值收入管理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异物管理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添加、编辑、领取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异物管理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包专管理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包专管理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多样化运营登记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添加、登记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多样化运营登记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2.6-6.0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3.2-7.5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配票应急导入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上传excel、上传票袋数据（分公司/票务室）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配票应急导入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5.2-13.5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充值导入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0.0-0.8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用户管理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添加、编辑、编辑操作权限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用户管理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阈值管理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权限管理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添加、编辑（分公司/票务室权限）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权限管理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菜单管理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菜单管理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登录日志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登录日志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3.9-10.5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</w:tbl>
    <w:p/>
    <w:p>
      <w:pPr>
        <w:sectPr>
          <w:pgSz w:w="15840" w:h="12240" w:orient="landscape"/>
          <w:pgMar w:top="864" w:right="792" w:bottom="864" w:left="792" w:header="504" w:footer="504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风险点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表现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建议处理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需求边界不清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文档中存在“待明确”“删除”“整合”项，容易反复变更。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在开发前形成冻结版功能清单，变更走审批和工期调整。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接口资料缺失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数据湖、二维码、胆款、电子签章等接口材料未完全明确。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一期只做接口框架和已确认接口，未确认部分单独列二期。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报表口径争议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同一报表集团/分公司/票务室口径不同，数字验收困难。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先用旧系统样例数据签字确认，再开发。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历史数据异常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旧系统长期运行导致脏数据和状态不一致。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迁移前做数据体检，异常数据由业务确认处理规则。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AI 生成代码质量波动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常规代码效率高，但核心业务可能遗漏隐性规则。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核心交易类代码必须人工 review，并要求测试覆盖状态流转和金额计算。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九、结论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本项目完整实施建议按 10-12 人、8-10 个月规划；采用 Vibe Coding 协同后，可把常规代码、测试样例、文档和重复性页面工作压缩，推荐按 7-9 人、7-8 个月作为进取计划。部署与可运维性需同步纳入一期，额外预留 120-200 人日。即便采用协同开发，票据库存、票单结算、报表口径、历史数据迁移和上线割接仍是项目成败关键，需要架构师、业务负责人、测试负责人和运维负责人持续把关。</w:t>
      </w:r>
    </w:p>
    <w:sectPr w:rsidR="00FC693F" w:rsidRPr="0006063C" w:rsidSect="00034616">
      <w:pgSz w:w="15840" w:h="12240" w:orient="landscape"/>
      <w:pgMar w:top="864" w:right="792" w:bottom="864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7"/>
      </w:rPr>
      <w:t>内部评估文件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06C7A"/>
        <w:sz w:val="17"/>
      </w:rPr>
      <w:t>北京公交集团票务综合管理平台系统升级 | Vibe Coding 实施与工作量评估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