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2.2 THE ORDERED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first step in organizing data is the preparation of an ordered array. An ordered array is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listing of the values of a collection (either population or sample) in order of magnitude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smallest value to the largest value. If the number of measurements to be ordered is 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 appreciable size, the use of a computer to prepare the ordered array is highly desirable.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ordered array enables one to determine quickly the value of the smallest meas-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urement, the value of the largest measurement, and other facts about the arrayed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might be needed in a hurry. We illustrate the construction of an ordered array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data discussed in Example 1.4.1.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2.2.1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 1.4.1 contains a list of the ages of subjects who participated in the study on smok-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ing cessation discussed in Example 1.4.1. As can be seen, this unordered table requires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considerable searching for us to ascertain such elementary information as the age of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youngest and oldest subjects.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2.3 GROUPED DATA: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FREQUENCY DISTRIBUTION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Although a set of observations can be made more comprehensible and meaningful 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means of an ordered array, further useful summarization may be achieved by grouping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data. Before the days of computers one of the main objectives in grouping large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sets was to facilitate the calculation of various descriptive measures such as percentages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averages. Because computers can perform these calculations on large data sets with-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 first grouping the data, the main purpose in grouping data now is summarization.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One must bear in mind that data contain information and that summarization is a way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 making it easier to determine the nature of this information.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group a set of observations we select a set of contiguous, nonoverlapping inter-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vals such that each value in the set of observations can be placed in one, and only one,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the intervals. These intervals are usually referred to as class intervals.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One of the first considerations when data are to be grouped is how many intervals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include. Too few intervals are undesirable because of the resulting loss of information.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the other hand, if too many intervals are used, the objective of summarization will not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 met. The best guide to this, as well as to other decisions to be made in grouping data,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 your knowledge of the data. It may be that class intervals have been determined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precedent, as in the case of annual tabulations, when the class intervals of previous years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are maintained for comparative purposes. A commonly followed rule of thumb states that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should be no fewer than five intervals and no more than 15. If there are fewer than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five intervals, the data have been summarized too much and the information they contain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has been lost. If there are more than 15 intervals, the data have not been summarized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enough.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Those who need more specific guidance in the matter of deciding how many class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intervals to employ may use a formula given by Sturges (1). This formula gives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 = 1 + 3.3221log 10 n2, where k stands for the number of class intervals and n is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number of values in the data set under consideration. The answer obtained by applying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Sturges’s rule should not be regarded as final, but should be considered as a guide only.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number of class intervals specified by the rule should be increased or decreased for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convenience and clear presentation.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Suppose, for example, that we have a sample of 275 observations that we want 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group. The logarithm to the base 10 of 275 is 2.4393. Applying Sturges’s formula gives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 = 1 + 3.32212.43932 M 9. In practice, other considerations might cause us to use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eight or fewer or perhaps 10 or more class intervals.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Another question that must be decided regards the width of the class intervals.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intervals generally should be of the same width, although this is sometimes impossible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accomplish. This width may be determined by dividing the range by k, the number of class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intervals. Symbolically, the class interval width is given by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 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(2.3.1)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R (the range) is the difference between the smallest and the largest observation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data set. As a rule this procedure yields a width that is inconvenient for use. Again,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may exercise our good judgment and select a width (usually close to one given by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Equation 2.3.1) that is more convenient.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There are other rules of thumb that are helpful in setting up useful class intervals.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the nature of the data makes them appropriate, class interval widths of 5 units, 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units, and widths that are multiples of 10 tend to make the summarization more com-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prehensible. When these widths are employed it is generally good practice to have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lower limit of each interval end in a zero or 5. Usually class intervals are ordered from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smallest to largest; that is, the first class interval contains the smaller measurements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last class interval contains the larger measurements. When this is the case, the lower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limit of the first class interval should be equal to or smaller than the smallest measure-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ment in the data set, and the upper limit of the last class interval should be equal to 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greater than the largest measurement.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Most statistical packages allow users to interactively change the number of class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intervals and/or the class widths, so that several visualizations of the data can be obtained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quickly. This feature allows users to exercise their judgment in deciding which data dis-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play is most appropriate for a given purpose. Let us use the 189 ages shown in Table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1.4.1 and arrayed in Table 2.2.1 to illustrate the construction of a frequency distribution.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EXAMPLE 2.3.1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wish to know how many class intervals to have in the frequency distribution of the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data. We also want to know how wide the intervals should be.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get an idea as to the number of class intervals to use, we can apply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Sturges’s rule to obtain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 = 1 + 3.3221log 1892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 1 + 3.32212.27646182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 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Now let us divide the range by 9 to get some idea about the class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interval width. We have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82 - 30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 5.778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It is apparent that a class interval width of 5 or 10 will be more con-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venient to use, as well as more meaningful to the reader. Suppose we decide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10. We may now construct our intervals. Since the smallest value in Table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2.2.1 is 30 and the largest value is 82, we may begin our intervals with 30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end with 89. This gives the following intervals: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30–39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40–49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50–59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60–69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70–79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80–89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 see that there are six of these intervals, three fewer than the number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suggested by Sturges’s rule.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 is sometimes useful to refer to the center, called the midpoint, of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interval. The midpoint of a class interval is determined by obtaining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sum of the upper and lower limits of the class interval and dividing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by 2. Thus, for example, the midpoint of the class interval 30–39 is found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 be 130 + 392&gt;2 = 34.5.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Relative Frequencies It may be useful at times to know the proportion, rather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than the number, of values falling within a particular class interval. We obtain this infor-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mation by dividing the number of values in the particular class interval by the total num-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ber of values. If, in our example, we wish to know the proportion of values between 50 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59, inclusive, we divide 70 by 189, obtaining .3704. Thus we say that 70 out of 189, 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70!189ths, or .3704, of the values are between 50 and 59. Multiplying .3704 by 100 gives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 the percentage of values between 50 and 59. We can say, then, that 37.04 percent of the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subjects are between 50 and 59 years of age. We may refer to the proportion of values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falling within a class interval as the relative frequency of occurrence of values in that inter-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val. In Section 3.2 we shall see that a relative frequency may be interpreted also as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probability of occurrence within the given interval. This probability of occurrence is also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called the experimental probability or the empirical probability.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determining the frequency of values falling within two or more class intervals,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 obtain the sum of the number of values falling within the class intervals of interest.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Similarly, if we want to know the relative frequency of occurrence of values falling within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two or more class intervals, we add the respective relative frequencies. We may sum, 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cumulate, the frequencies and relative frequencies to facilitate obtaining information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regarding the frequency or relative frequency of values within two or more contiguous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class intervals. Table 2.3.2 shows the data of Table 2.3.1 along with the cumulative fre-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quencies, the relative frequencies, and cumulative relative frequencies.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Suppose that we are interested in the relative frequency of values between 50 and 79.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use the cumulative relative frequency column of Table 2.3.2 and subtract .3016 from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.9948, obtaining .6932.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We may use a statistical package to obtain a table similar to that shown in 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2.3.2. Tables obtained from both MINITAB and SPSS software are shown in Figure 2.3.1.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Histogram We may display a frequency distribution (or a relative frequency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distribution) graphically in the form of a histogram, which is a special type of bar graph.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When we construct a histogram the values of the variable under consideration are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represented by the horizontal axis, while the vertical axis has as its scale the frequency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(or relative frequency if desired) of occurrence. Above each class interval on the hori-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zontal axis a rectangular bar, or cell, as it is sometimes called, is erected so that the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height corresponds to the respective frequency when the class intervals are of equal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width. The cells of a histogram must be joined and, to accomplish this, we must take into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account the true boundaries of the class intervals to prevent gaps from occurring between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cells of our graph.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level of precision observed in reported data that are measured on a continuous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scale indicates some order of rounding. The order of rounding reflects either the reporter’s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personal preference or the limitations of the measuring instrument employed. When a fre-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quency distribution is constructed from the data, the class interval limits usually reflect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degree of precision of the raw data. This has been done in our illustrative example.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Frequency Polygon A frequency distribution can be portrayed graphi-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cally in yet another way by means of a frequency polygon, which is a special kind of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line graph. To draw a frequency polygon we first place a dot above the midpoint of each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interval represented on the horizontal axis of a graph like the one shown in Figure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2.3.2. The height of a given dot above the horizontal axis corresponds to the frequency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of the relevant class interval. Connecting the dots by straight lines produces the frequency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polygon. Figure 2.3.4 is the frequency polygon for the age data in Table 2.2.1.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Note that the polygon is brought down to the horizontal axis at the ends at points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that would be the midpoints if there were an additional cell at each end of the corre-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sponding histogram. This allows for the total area to be enclosed. The total area under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frequency polygon is equal to the area under the histogram. Figure 2.3.5 shows the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frequency polygon of Figure 2.3.4 superimposed on the histogram of Figure 2.3.2. This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figure allows you to see, for the same set of data, the relationship between the two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graphic forms.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Stem-and-Leaf Displays Another graphical device that is useful for represent-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ing quantitative data sets is the stem-and-leaf display. A stem-and-leaf display bears 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strong resemblance to a histogram and serves the same purpose. A properly constructed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stem-and-leaf display, like a histogram, provides information regarding the range of the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data set, shows the location of the highest concentration of measurements, and reveals the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presence or absence of symmetry. An advantage of the stem-and-leaf display over the his-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togram is the fact that it preserves the information contained in the individual measure-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ments. Such information is lost when measurements are assigned to the class intervals of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 histogram. As will become apparent, another advantage of stem-and-leaf displays is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fact that they can be constructed during the tallying process, so the intermediate step of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preparing an ordered array is eliminated.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 construct a stem-and-leaf display we partition each measurement into two parts.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first part is called the stem, and the second part is called the leaf. The stem consists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of one or more of the initial digits of the measurement, and the leaf is composed of one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 more of the remaining digits. All partitioned numbers are shown together in a single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display; the stems form an ordered column with the smallest stem at the top and the largest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at the bottom. We include in the stem column all stems within the range of the data even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when a measurement with that stem is not in the data set. The rows of the display con-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tain the leaves, ordered and listed to the right of their respective stems. When leaves con-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sist of more than one digit, all digits after the first may be deleted. Decimals when pres-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 in the original data are omitted in the stem-and-leaf display. The stems are separated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their leaves by a vertical line. Thus we see that a stem-and-leaf display is also an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ordered array of the data.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Stem-and-leaf displays are most effective with relatively small data sets. As a rule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they are not suitable for use in annual reports or other communications aimed at the gen-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eral public. They are primarily of value in helping researchers and decision makers under-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stand the nature of their data. Histograms are more appropriate for externally circulated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publications. The following example illustrates the construction of a stem-and-leaf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display.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