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3F" w:rsidRPr="00D202F9" w:rsidRDefault="0077243F" w:rsidP="007E5876">
      <w:pPr>
        <w:pStyle w:val="Csakszveg"/>
        <w:rPr>
          <w:rFonts w:ascii="Arial" w:hAnsi="Arial" w:cs="Arial"/>
          <w:b/>
          <w:sz w:val="27"/>
          <w:szCs w:val="27"/>
        </w:rPr>
      </w:pPr>
      <w:r w:rsidRPr="00D202F9">
        <w:rPr>
          <w:rFonts w:ascii="Arial" w:hAnsi="Arial" w:cs="Arial"/>
          <w:b/>
          <w:sz w:val="27"/>
          <w:szCs w:val="27"/>
        </w:rPr>
        <w:t>Decimális számrendszer</w:t>
      </w:r>
    </w:p>
    <w:p w:rsidR="007E5876" w:rsidRPr="00D202F9" w:rsidRDefault="007E5876" w:rsidP="007E5876">
      <w:pPr>
        <w:pStyle w:val="Csakszveg"/>
        <w:rPr>
          <w:rFonts w:ascii="Arial" w:hAnsi="Arial" w:cs="Arial"/>
          <w:sz w:val="24"/>
          <w:szCs w:val="24"/>
        </w:rPr>
      </w:pPr>
      <w:r w:rsidRPr="00D202F9">
        <w:rPr>
          <w:rFonts w:ascii="Arial" w:hAnsi="Arial" w:cs="Arial"/>
          <w:sz w:val="24"/>
          <w:szCs w:val="24"/>
        </w:rPr>
        <w:t>Más néven tízes számrendszer</w:t>
      </w:r>
    </w:p>
    <w:p w:rsidR="007E5876" w:rsidRPr="00D202F9" w:rsidRDefault="007E5876" w:rsidP="007E5876">
      <w:pPr>
        <w:pStyle w:val="Csakszveg"/>
        <w:rPr>
          <w:rFonts w:ascii="Arial" w:hAnsi="Arial" w:cs="Arial"/>
          <w:sz w:val="24"/>
          <w:szCs w:val="24"/>
        </w:rPr>
      </w:pPr>
      <w:r w:rsidRPr="00D202F9">
        <w:rPr>
          <w:rFonts w:ascii="Arial" w:hAnsi="Arial" w:cs="Arial"/>
          <w:sz w:val="24"/>
          <w:szCs w:val="24"/>
        </w:rPr>
        <w:t xml:space="preserve"> -számjegyei a 0, 1, 2, 3, 4, 5, 6, 7, 8, 9, helyiértékei a tíz hatványai</w:t>
      </w:r>
    </w:p>
    <w:p w:rsidR="007E5876" w:rsidRPr="00D202F9" w:rsidRDefault="007E5876" w:rsidP="007E5876">
      <w:pPr>
        <w:pStyle w:val="Csakszveg"/>
        <w:rPr>
          <w:rFonts w:ascii="Arial" w:hAnsi="Arial" w:cs="Arial"/>
          <w:sz w:val="24"/>
          <w:szCs w:val="24"/>
        </w:rPr>
      </w:pPr>
      <w:r w:rsidRPr="00D202F9">
        <w:rPr>
          <w:rFonts w:ascii="Arial" w:hAnsi="Arial" w:cs="Arial"/>
          <w:sz w:val="24"/>
          <w:szCs w:val="24"/>
        </w:rPr>
        <w:t xml:space="preserve"> -a nem egész számok tizedestört formájában </w:t>
      </w:r>
      <w:proofErr w:type="spellStart"/>
      <w:r w:rsidRPr="00D202F9">
        <w:rPr>
          <w:rFonts w:ascii="Arial" w:hAnsi="Arial" w:cs="Arial"/>
          <w:sz w:val="24"/>
          <w:szCs w:val="24"/>
        </w:rPr>
        <w:t>ábrázolhatóak</w:t>
      </w:r>
      <w:proofErr w:type="spellEnd"/>
      <w:r w:rsidRPr="00D202F9">
        <w:rPr>
          <w:rFonts w:ascii="Arial" w:hAnsi="Arial" w:cs="Arial"/>
          <w:sz w:val="24"/>
          <w:szCs w:val="24"/>
        </w:rPr>
        <w:t xml:space="preserve"> benne</w:t>
      </w:r>
    </w:p>
    <w:p w:rsidR="007E5876" w:rsidRPr="00D202F9" w:rsidRDefault="007E5876" w:rsidP="007E5876">
      <w:pPr>
        <w:pStyle w:val="Csakszveg"/>
        <w:rPr>
          <w:rFonts w:ascii="Arial" w:hAnsi="Arial" w:cs="Arial"/>
          <w:sz w:val="24"/>
          <w:szCs w:val="24"/>
        </w:rPr>
      </w:pPr>
      <w:r w:rsidRPr="00D202F9">
        <w:rPr>
          <w:rFonts w:ascii="Arial" w:hAnsi="Arial" w:cs="Arial"/>
          <w:sz w:val="24"/>
          <w:szCs w:val="24"/>
        </w:rPr>
        <w:t xml:space="preserve"> -az arab számírásos számrendszerek közül szinte az egész világon ezt használják</w:t>
      </w:r>
    </w:p>
    <w:p w:rsidR="00F86847" w:rsidRPr="00D202F9" w:rsidRDefault="00F86847" w:rsidP="007E5876">
      <w:pPr>
        <w:pStyle w:val="Csakszveg"/>
        <w:rPr>
          <w:rFonts w:ascii="Arial" w:hAnsi="Arial" w:cs="Arial"/>
          <w:sz w:val="24"/>
          <w:szCs w:val="24"/>
        </w:rPr>
      </w:pPr>
    </w:p>
    <w:p w:rsidR="00F86847" w:rsidRPr="00F86847" w:rsidRDefault="00F86847" w:rsidP="00F86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86847">
        <w:rPr>
          <w:rFonts w:ascii="Arial" w:eastAsia="Times New Roman" w:hAnsi="Arial" w:cs="Arial"/>
          <w:sz w:val="24"/>
          <w:szCs w:val="24"/>
          <w:lang w:eastAsia="hu-HU"/>
        </w:rPr>
        <w:t xml:space="preserve">A kép szövege a tízes </w:t>
      </w:r>
      <w:proofErr w:type="spellStart"/>
      <w:r w:rsidRPr="00F86847">
        <w:rPr>
          <w:rFonts w:ascii="Arial" w:eastAsia="Times New Roman" w:hAnsi="Arial" w:cs="Arial"/>
          <w:sz w:val="24"/>
          <w:szCs w:val="24"/>
          <w:lang w:eastAsia="hu-HU"/>
        </w:rPr>
        <w:t>számrendszerbeli</w:t>
      </w:r>
      <w:proofErr w:type="spellEnd"/>
      <w:r w:rsidRPr="00F86847">
        <w:rPr>
          <w:rFonts w:ascii="Arial" w:eastAsia="Times New Roman" w:hAnsi="Arial" w:cs="Arial"/>
          <w:sz w:val="24"/>
          <w:szCs w:val="24"/>
          <w:lang w:eastAsia="hu-HU"/>
        </w:rPr>
        <w:t xml:space="preserve"> ábrázolásról szól, melyben a számok helyiértékek szerint vannak elrendezve. Az egyes helyiértékeken található számjegyek azt mutatják meg, hogy a tíz különböző hatványai hogyan kombinálódnak a 0 és 9 közötti együtthatókkal, hogy összeadódva megadják az adott számot. Az ábrázolás a következőképpen néz ki:</w:t>
      </w:r>
    </w:p>
    <w:p w:rsidR="00F86847" w:rsidRPr="00D202F9" w:rsidRDefault="00F86847" w:rsidP="00F86847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bscript"/>
          <w:lang w:eastAsia="hu-HU"/>
        </w:rPr>
      </w:pPr>
      <w:r w:rsidRPr="00F86847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F86847">
        <w:rPr>
          <w:rFonts w:ascii="Arial" w:eastAsia="Times New Roman" w:hAnsi="Arial" w:cs="Arial"/>
          <w:sz w:val="24"/>
          <w:szCs w:val="24"/>
          <w:vertAlign w:val="subscript"/>
          <w:lang w:eastAsia="hu-HU"/>
        </w:rPr>
        <w:t>n</w:t>
      </w:r>
      <w:r w:rsidRPr="00F86847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F86847">
        <w:rPr>
          <w:rFonts w:ascii="Arial" w:eastAsia="Times New Roman" w:hAnsi="Arial" w:cs="Arial"/>
          <w:sz w:val="24"/>
          <w:szCs w:val="24"/>
          <w:vertAlign w:val="subscript"/>
          <w:lang w:eastAsia="hu-HU"/>
        </w:rPr>
        <w:t>n</w:t>
      </w:r>
      <w:r w:rsidRPr="00F86847">
        <w:rPr>
          <w:rFonts w:ascii="Arial" w:eastAsia="Times New Roman" w:hAnsi="Arial" w:cs="Arial"/>
          <w:sz w:val="24"/>
          <w:szCs w:val="24"/>
          <w:lang w:eastAsia="hu-HU"/>
        </w:rPr>
        <w:t>−1…x</w:t>
      </w:r>
      <w:r w:rsidRPr="00F86847">
        <w:rPr>
          <w:rFonts w:ascii="Arial" w:eastAsia="Times New Roman" w:hAnsi="Arial" w:cs="Arial"/>
          <w:sz w:val="24"/>
          <w:szCs w:val="24"/>
          <w:vertAlign w:val="subscript"/>
          <w:lang w:eastAsia="hu-HU"/>
        </w:rPr>
        <w:t>2</w:t>
      </w:r>
      <w:r w:rsidRPr="00F86847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F86847">
        <w:rPr>
          <w:rFonts w:ascii="Arial" w:eastAsia="Times New Roman" w:hAnsi="Arial" w:cs="Arial"/>
          <w:sz w:val="24"/>
          <w:szCs w:val="24"/>
          <w:vertAlign w:val="subscript"/>
          <w:lang w:eastAsia="hu-HU"/>
        </w:rPr>
        <w:t>1</w:t>
      </w:r>
      <w:r w:rsidRPr="00F86847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F86847">
        <w:rPr>
          <w:rFonts w:ascii="Arial" w:eastAsia="Times New Roman" w:hAnsi="Arial" w:cs="Arial"/>
          <w:sz w:val="24"/>
          <w:szCs w:val="24"/>
          <w:vertAlign w:val="subscript"/>
          <w:lang w:eastAsia="hu-HU"/>
        </w:rPr>
        <w:t>0</w:t>
      </w:r>
    </w:p>
    <w:p w:rsidR="00F86847" w:rsidRPr="00D202F9" w:rsidRDefault="00F86847" w:rsidP="00F86847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bscript"/>
          <w:lang w:eastAsia="hu-HU"/>
        </w:rPr>
      </w:pPr>
    </w:p>
    <w:p w:rsidR="00F86847" w:rsidRPr="00D202F9" w:rsidRDefault="00F86847" w:rsidP="00F868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D202F9">
        <w:rPr>
          <w:rFonts w:ascii="Arial" w:hAnsi="Arial" w:cs="Arial"/>
          <w:sz w:val="24"/>
          <w:szCs w:val="24"/>
        </w:rPr>
        <w:t>Ez az</w:t>
      </w:r>
    </w:p>
    <w:p w:rsidR="00F86847" w:rsidRPr="00D202F9" w:rsidRDefault="00F86847" w:rsidP="007E5876">
      <w:pPr>
        <w:pStyle w:val="Csakszveg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ⅈ</m:t>
                  </m:r>
                </m:sup>
              </m:sSup>
            </m:e>
          </m:nary>
        </m:oMath>
      </m:oMathPara>
    </w:p>
    <w:p w:rsidR="00F86847" w:rsidRPr="00D202F9" w:rsidRDefault="00F86847" w:rsidP="007E5876">
      <w:pPr>
        <w:pStyle w:val="Csakszveg"/>
        <w:rPr>
          <w:rFonts w:ascii="Arial" w:eastAsiaTheme="minorEastAsia" w:hAnsi="Arial" w:cs="Arial"/>
          <w:sz w:val="24"/>
          <w:szCs w:val="24"/>
        </w:rPr>
      </w:pPr>
    </w:p>
    <w:p w:rsidR="00F86847" w:rsidRPr="00D202F9" w:rsidRDefault="00F86847" w:rsidP="007E5876">
      <w:pPr>
        <w:pStyle w:val="Csakszveg"/>
        <w:rPr>
          <w:rFonts w:ascii="Arial" w:hAnsi="Arial" w:cs="Arial"/>
          <w:sz w:val="24"/>
          <w:szCs w:val="24"/>
        </w:rPr>
      </w:pPr>
      <w:r w:rsidRPr="00D202F9">
        <w:rPr>
          <w:rFonts w:ascii="Arial" w:hAnsi="Arial" w:cs="Arial"/>
          <w:sz w:val="24"/>
          <w:szCs w:val="24"/>
        </w:rPr>
        <w:t xml:space="preserve">számot jelöli. Az n szám tízes </w:t>
      </w:r>
      <w:proofErr w:type="spellStart"/>
      <w:r w:rsidRPr="00D202F9">
        <w:rPr>
          <w:rFonts w:ascii="Arial" w:hAnsi="Arial" w:cs="Arial"/>
          <w:sz w:val="24"/>
          <w:szCs w:val="24"/>
        </w:rPr>
        <w:t>számrendszerbeli</w:t>
      </w:r>
      <w:proofErr w:type="spellEnd"/>
      <w:r w:rsidRPr="00D202F9">
        <w:rPr>
          <w:rFonts w:ascii="Arial" w:hAnsi="Arial" w:cs="Arial"/>
          <w:sz w:val="24"/>
          <w:szCs w:val="24"/>
        </w:rPr>
        <w:t xml:space="preserve"> alakjában az i-</w:t>
      </w:r>
      <w:proofErr w:type="spellStart"/>
      <w:r w:rsidRPr="00D202F9">
        <w:rPr>
          <w:rFonts w:ascii="Arial" w:hAnsi="Arial" w:cs="Arial"/>
          <w:sz w:val="24"/>
          <w:szCs w:val="24"/>
        </w:rPr>
        <w:t>edik</w:t>
      </w:r>
      <w:proofErr w:type="spellEnd"/>
      <w:r w:rsidRPr="00D202F9">
        <w:rPr>
          <w:rFonts w:ascii="Arial" w:hAnsi="Arial" w:cs="Arial"/>
          <w:sz w:val="24"/>
          <w:szCs w:val="24"/>
        </w:rPr>
        <w:t xml:space="preserve"> helyiértéken az alábbi érték fog állni</w:t>
      </w:r>
      <w:r w:rsidRPr="00D202F9">
        <w:rPr>
          <w:rFonts w:ascii="Arial" w:hAnsi="Arial" w:cs="Arial"/>
          <w:sz w:val="24"/>
          <w:szCs w:val="24"/>
        </w:rPr>
        <w:t xml:space="preserve"> (</w:t>
      </w:r>
      <w:r w:rsidRPr="00D202F9">
        <w:rPr>
          <w:rFonts w:ascii="Arial" w:hAnsi="Arial" w:cs="Arial"/>
          <w:sz w:val="24"/>
          <w:szCs w:val="24"/>
        </w:rPr>
        <w:t>a perjel maradékos osztást jelöl</w:t>
      </w:r>
      <w:r w:rsidRPr="00D202F9">
        <w:rPr>
          <w:rFonts w:ascii="Arial" w:hAnsi="Arial" w:cs="Arial"/>
          <w:sz w:val="24"/>
          <w:szCs w:val="24"/>
        </w:rPr>
        <w:t>)</w:t>
      </w:r>
      <w:r w:rsidRPr="00D202F9">
        <w:rPr>
          <w:rFonts w:ascii="Arial" w:hAnsi="Arial" w:cs="Arial"/>
          <w:sz w:val="24"/>
          <w:szCs w:val="24"/>
        </w:rPr>
        <w:t>:</w:t>
      </w:r>
    </w:p>
    <w:p w:rsidR="00F86847" w:rsidRPr="00D202F9" w:rsidRDefault="00F86847" w:rsidP="007E5876">
      <w:pPr>
        <w:pStyle w:val="Csakszveg"/>
        <w:rPr>
          <w:rFonts w:ascii="Arial" w:hAnsi="Arial" w:cs="Arial"/>
          <w:sz w:val="24"/>
          <w:szCs w:val="24"/>
        </w:rPr>
      </w:pPr>
    </w:p>
    <w:p w:rsidR="00F86847" w:rsidRPr="00D202F9" w:rsidRDefault="00F86847" w:rsidP="007E5876">
      <w:pPr>
        <w:pStyle w:val="Csakszveg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ⅈ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</w:rPr>
                <m:t>mod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</m:func>
        </m:oMath>
      </m:oMathPara>
    </w:p>
    <w:p w:rsidR="00F86847" w:rsidRPr="00D202F9" w:rsidRDefault="00F86847" w:rsidP="007E5876">
      <w:pPr>
        <w:pStyle w:val="Csakszveg"/>
        <w:rPr>
          <w:rFonts w:ascii="Arial" w:hAnsi="Arial" w:cs="Arial"/>
        </w:rPr>
      </w:pPr>
    </w:p>
    <w:p w:rsidR="00F86847" w:rsidRPr="00D202F9" w:rsidRDefault="00F86847" w:rsidP="007E5876">
      <w:pPr>
        <w:pStyle w:val="Csakszveg"/>
        <w:rPr>
          <w:rFonts w:ascii="Arial" w:hAnsi="Arial" w:cs="Arial"/>
        </w:rPr>
      </w:pPr>
    </w:p>
    <w:p w:rsidR="00C32AB9" w:rsidRPr="00C32AB9" w:rsidRDefault="00C32AB9" w:rsidP="00C32A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u-HU"/>
        </w:rPr>
      </w:pPr>
      <w:r w:rsidRPr="00C32AB9">
        <w:rPr>
          <w:rFonts w:ascii="Arial" w:eastAsia="Times New Roman" w:hAnsi="Arial" w:cs="Arial"/>
          <w:b/>
          <w:bCs/>
          <w:sz w:val="27"/>
          <w:szCs w:val="27"/>
          <w:lang w:eastAsia="hu-HU"/>
        </w:rPr>
        <w:t>Oszthatósági szabályok</w:t>
      </w:r>
    </w:p>
    <w:p w:rsidR="00C32AB9" w:rsidRPr="00C32AB9" w:rsidRDefault="00C32AB9" w:rsidP="00C32A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32AB9">
        <w:rPr>
          <w:rFonts w:ascii="Arial" w:eastAsia="Times New Roman" w:hAnsi="Arial" w:cs="Arial"/>
          <w:sz w:val="24"/>
          <w:szCs w:val="24"/>
          <w:lang w:eastAsia="hu-HU"/>
        </w:rPr>
        <w:t>A tízes számrendszerben a tíz osztói a kettő és az öt. Ebből következik, hogy a legegyszerűbb oszthatósági szabályokat a kettő és öt hatványaira lehet alkalmazni: egy szám akkor osztható 2</w:t>
      </w:r>
      <w:r w:rsidRPr="00C32AB9">
        <w:rPr>
          <w:rFonts w:ascii="Arial" w:eastAsia="Times New Roman" w:hAnsi="Arial" w:cs="Arial"/>
          <w:sz w:val="24"/>
          <w:szCs w:val="24"/>
          <w:vertAlign w:val="superscript"/>
          <w:lang w:eastAsia="hu-HU"/>
        </w:rPr>
        <w:t>n</w:t>
      </w:r>
      <w:r w:rsidRPr="00C32AB9">
        <w:rPr>
          <w:rFonts w:ascii="Arial" w:eastAsia="Times New Roman" w:hAnsi="Arial" w:cs="Arial"/>
          <w:sz w:val="24"/>
          <w:szCs w:val="24"/>
          <w:lang w:eastAsia="hu-HU"/>
        </w:rPr>
        <w:t>-nel vagy 5</w:t>
      </w:r>
      <w:r w:rsidRPr="00C32AB9">
        <w:rPr>
          <w:rFonts w:ascii="Arial" w:eastAsia="Times New Roman" w:hAnsi="Arial" w:cs="Arial"/>
          <w:sz w:val="24"/>
          <w:szCs w:val="24"/>
          <w:vertAlign w:val="superscript"/>
          <w:lang w:eastAsia="hu-HU"/>
        </w:rPr>
        <w:t>n</w:t>
      </w:r>
      <w:r w:rsidRPr="00C32AB9">
        <w:rPr>
          <w:rFonts w:ascii="Arial" w:eastAsia="Times New Roman" w:hAnsi="Arial" w:cs="Arial"/>
          <w:sz w:val="24"/>
          <w:szCs w:val="24"/>
          <w:lang w:eastAsia="hu-HU"/>
        </w:rPr>
        <w:t>-nel, ha az utolsó n jegyéből képzett szám osztható velük. Különösképpen, a páros számok utolsó jegye lehet 0, 2, 4, 6 vagy 8, míg az öttel osztható számok utolsó jegye 0 vagy 5.</w:t>
      </w:r>
    </w:p>
    <w:p w:rsidR="00C32AB9" w:rsidRPr="00C32AB9" w:rsidRDefault="00C32AB9" w:rsidP="00C32A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32AB9">
        <w:rPr>
          <w:rFonts w:ascii="Arial" w:eastAsia="Times New Roman" w:hAnsi="Arial" w:cs="Arial"/>
          <w:sz w:val="24"/>
          <w:szCs w:val="24"/>
          <w:lang w:eastAsia="hu-HU"/>
        </w:rPr>
        <w:t>A három osztója a 10-1-nek, így hasonlóan egyszerű szabály alkalmazható: egy szám akkor osztható hárommal, ha a számjegyeinek összege osztható hárommal. Ugyanez a szabály alkalmazható a kilenccel való oszthatóságra is.</w:t>
      </w:r>
    </w:p>
    <w:p w:rsidR="00C32AB9" w:rsidRPr="00C32AB9" w:rsidRDefault="00C32AB9" w:rsidP="00C32A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u-HU"/>
        </w:rPr>
      </w:pPr>
      <w:r w:rsidRPr="00C32AB9">
        <w:rPr>
          <w:rFonts w:ascii="Arial" w:eastAsia="Times New Roman" w:hAnsi="Arial" w:cs="Arial"/>
          <w:b/>
          <w:bCs/>
          <w:sz w:val="27"/>
          <w:szCs w:val="27"/>
          <w:lang w:eastAsia="hu-HU"/>
        </w:rPr>
        <w:t>Tizedes törtek</w:t>
      </w:r>
    </w:p>
    <w:p w:rsidR="00AB3206" w:rsidRPr="00D202F9" w:rsidRDefault="00C32AB9" w:rsidP="00AB32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32AB9">
        <w:rPr>
          <w:rFonts w:ascii="Arial" w:eastAsia="Times New Roman" w:hAnsi="Arial" w:cs="Arial"/>
          <w:sz w:val="24"/>
          <w:szCs w:val="24"/>
          <w:lang w:eastAsia="hu-HU"/>
        </w:rPr>
        <w:t>A racionális és valós számokat kifejezhetjük tizedes törtként is, amelyben az összegben szerepelnek a tíz negatív kitevőjű hatványai is. Más helyiértékes számrendszerekhez hasonlóan, minden számnak van egy végtelen tizedestört alakja, míg azoknak a racionális számoknak, amelyek nevezőjében egyszerűsítés után csak kettővel és öttel osztható szám szerepel, véges tizedestört alakjuk van.</w:t>
      </w:r>
    </w:p>
    <w:p w:rsidR="00AB3206" w:rsidRPr="00D202F9" w:rsidRDefault="00AB3206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D202F9">
        <w:rPr>
          <w:rFonts w:ascii="Arial" w:eastAsia="Times New Roman" w:hAnsi="Arial" w:cs="Arial"/>
          <w:sz w:val="24"/>
          <w:szCs w:val="24"/>
          <w:lang w:eastAsia="hu-HU"/>
        </w:rPr>
        <w:br w:type="page"/>
      </w:r>
    </w:p>
    <w:p w:rsidR="00AB3206" w:rsidRPr="00D202F9" w:rsidRDefault="00AB3206" w:rsidP="00AB32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D202F9">
        <w:rPr>
          <w:rFonts w:ascii="Arial" w:eastAsia="Times New Roman" w:hAnsi="Arial" w:cs="Arial"/>
          <w:sz w:val="24"/>
          <w:szCs w:val="24"/>
          <w:lang w:eastAsia="hu-HU"/>
        </w:rPr>
        <w:drawing>
          <wp:inline distT="0" distB="0" distL="0" distR="0" wp14:anchorId="0B99BD3F" wp14:editId="596EC975">
            <wp:extent cx="3029373" cy="33627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6" w:rsidRPr="00D202F9" w:rsidRDefault="00AB3206" w:rsidP="00AB32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AB3206" w:rsidRPr="00D202F9" w:rsidRDefault="00AB3206" w:rsidP="00AB3206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A tízes számrendszer a nyelvekben</w:t>
      </w:r>
    </w:p>
    <w:p w:rsidR="00AB3206" w:rsidRPr="00D202F9" w:rsidRDefault="00AB3206" w:rsidP="00AB3206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Kevés olyan nyelv létezik, amely teljes mértékben a tízes számrendszer logikáját követi. Ezekben a nyelvekben a 11-et „tíz-egy”-ként, a 23-at pedig „kettő-tíz-három”-ként mondják. Ilyenek például a vietnámi, egyes kínai nyelvek, a japán, a koreai, a thai és bizonyos inka nyelvek.</w:t>
      </w:r>
    </w:p>
    <w:p w:rsidR="00AB3206" w:rsidRPr="00D202F9" w:rsidRDefault="00AB3206" w:rsidP="00AB3206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magyar nyelvben a 10 és 20 közötti számok nevei követik a tízes számrendszer logikáját, például a 11-et „(a) tízen egy”-ként fejezzük ki, ami tizenegyet jelent. A magyar nyelvben sosem találkozunk azzal a jelenséggel, amely az indoeurópai nyelvekben gyakori, hogy az egyes helyiérték megelőzi a tízes értéket, például a németben (</w:t>
      </w:r>
      <w:proofErr w:type="spellStart"/>
      <w:r w:rsidRPr="00D202F9">
        <w:rPr>
          <w:rFonts w:ascii="Arial" w:hAnsi="Arial" w:cs="Arial"/>
        </w:rPr>
        <w:t>dreiundzwanzig</w:t>
      </w:r>
      <w:proofErr w:type="spellEnd"/>
      <w:r w:rsidRPr="00D202F9">
        <w:rPr>
          <w:rFonts w:ascii="Arial" w:hAnsi="Arial" w:cs="Arial"/>
        </w:rPr>
        <w:t xml:space="preserve"> „három és húsz”= 23). Ez a jelenség egyébként az uráli nyelvcsalád egyetlen nyelvében sem fordul elő.</w:t>
      </w:r>
    </w:p>
    <w:p w:rsidR="00AB3206" w:rsidRPr="00D202F9" w:rsidRDefault="00AB3206" w:rsidP="00AB3206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Pszichológiai szempontok</w:t>
      </w:r>
    </w:p>
    <w:p w:rsidR="00AB3206" w:rsidRPr="00D202F9" w:rsidRDefault="00AB3206" w:rsidP="00AB3206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Egyes pszichológusok szerint a gyerekek annál nehezebben tanulnak meg számolni, minél szabálytalanabb a számok neve az adott nyelven.</w:t>
      </w:r>
    </w:p>
    <w:p w:rsidR="005C4A5F" w:rsidRPr="00D202F9" w:rsidRDefault="005C4A5F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D202F9">
        <w:rPr>
          <w:rFonts w:ascii="Arial" w:hAnsi="Arial" w:cs="Arial"/>
        </w:rPr>
        <w:br w:type="page"/>
      </w:r>
    </w:p>
    <w:p w:rsidR="005C4A5F" w:rsidRPr="00D202F9" w:rsidRDefault="005C4A5F" w:rsidP="005C4A5F">
      <w:pPr>
        <w:pStyle w:val="Cmsor3"/>
        <w:rPr>
          <w:rFonts w:ascii="Arial" w:hAnsi="Arial" w:cs="Arial"/>
        </w:rPr>
      </w:pP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(hexadecimális) számrendszer</w:t>
      </w:r>
    </w:p>
    <w:p w:rsidR="005C4A5F" w:rsidRPr="00D202F9" w:rsidRDefault="005C4A5F" w:rsidP="005C4A5F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számrendszer, más néven hexadecimális számrendszer, a 16-os szám alapú rendszer. Ez az informatika egyik kulcsfontosságú számrendszere, és programozói szaknyelvben gyakran "</w:t>
      </w:r>
      <w:proofErr w:type="spellStart"/>
      <w:r w:rsidRPr="00D202F9">
        <w:rPr>
          <w:rFonts w:ascii="Arial" w:hAnsi="Arial" w:cs="Arial"/>
        </w:rPr>
        <w:t>hexa</w:t>
      </w:r>
      <w:proofErr w:type="spellEnd"/>
      <w:r w:rsidRPr="00D202F9">
        <w:rPr>
          <w:rFonts w:ascii="Arial" w:hAnsi="Arial" w:cs="Arial"/>
        </w:rPr>
        <w:t>"-</w:t>
      </w:r>
      <w:proofErr w:type="spellStart"/>
      <w:r w:rsidRPr="00D202F9">
        <w:rPr>
          <w:rFonts w:ascii="Arial" w:hAnsi="Arial" w:cs="Arial"/>
        </w:rPr>
        <w:t>nak</w:t>
      </w:r>
      <w:proofErr w:type="spellEnd"/>
      <w:r w:rsidRPr="00D202F9">
        <w:rPr>
          <w:rFonts w:ascii="Arial" w:hAnsi="Arial" w:cs="Arial"/>
        </w:rPr>
        <w:t xml:space="preserve"> nevezik. Ebben a számrendszerben a 0-tól 9-ig terjedő számjegyek mellett az A, B, C, D, E és F betűk is szerepelnek (illetve ezek kisbetűs megfelelői is használhatók).</w:t>
      </w:r>
    </w:p>
    <w:p w:rsidR="005C4A5F" w:rsidRPr="00D202F9" w:rsidRDefault="005C4A5F" w:rsidP="005C4A5F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 0–9 számjegyek ugyanazt jelentik, mint a tízes számrendszerben.</w:t>
      </w:r>
    </w:p>
    <w:p w:rsidR="005C4A5F" w:rsidRPr="00D202F9" w:rsidRDefault="005C4A5F" w:rsidP="005C4A5F">
      <w:pPr>
        <w:pStyle w:val="NormlWeb"/>
        <w:numPr>
          <w:ilvl w:val="0"/>
          <w:numId w:val="1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Az A számjegy 10-et, a B 11-et, a C 12-t, a D 13-at, az E 14-et, és az F 15-öt jelöl (összesen 16 számjegy van, mivel a nulla is egy számjegy).</w:t>
      </w:r>
    </w:p>
    <w:p w:rsidR="005C4A5F" w:rsidRPr="00D202F9" w:rsidRDefault="005C4A5F" w:rsidP="005C4A5F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Általában az eltérő számrendszer használatát a szám után írt alsó indexes H betű vagy a 16 jelzi, például: C9H vagy C916. A programozásban gyakran előfordul a szám elé írt 0x jelölés (a </w:t>
      </w:r>
      <w:proofErr w:type="spellStart"/>
      <w:r w:rsidRPr="00D202F9">
        <w:rPr>
          <w:rFonts w:ascii="Arial" w:hAnsi="Arial" w:cs="Arial"/>
        </w:rPr>
        <w:t>hexa</w:t>
      </w:r>
      <w:proofErr w:type="spellEnd"/>
      <w:r w:rsidRPr="00D202F9">
        <w:rPr>
          <w:rFonts w:ascii="Arial" w:hAnsi="Arial" w:cs="Arial"/>
        </w:rPr>
        <w:t xml:space="preserve"> rövidítése), például 0xC9.</w:t>
      </w:r>
    </w:p>
    <w:p w:rsidR="005C4A5F" w:rsidRPr="00D202F9" w:rsidRDefault="005C4A5F" w:rsidP="005C4A5F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Egy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számrendszerben írt szám esetében az egyes számjegyek a 16 hatványait képviselik, növekvő sorrendben a legkisebb helyiértékű számjegytől haladva a legnagyobb felé. Például a 3F8H szám a tízes számrendszerben így számolható ki:</w:t>
      </w:r>
    </w:p>
    <w:p w:rsidR="005C4A5F" w:rsidRPr="00D202F9" w:rsidRDefault="005C4A5F" w:rsidP="005C4A5F">
      <w:pPr>
        <w:rPr>
          <w:rFonts w:ascii="Arial" w:hAnsi="Arial" w:cs="Arial"/>
        </w:rPr>
      </w:pPr>
      <w:r w:rsidRPr="00D202F9">
        <w:rPr>
          <w:rFonts w:ascii="Arial" w:hAnsi="Arial" w:cs="Arial"/>
        </w:rPr>
        <w:t>3×16</w:t>
      </w:r>
      <w:r w:rsidRPr="00D202F9">
        <w:rPr>
          <w:rFonts w:ascii="Arial" w:hAnsi="Arial" w:cs="Arial"/>
          <w:vertAlign w:val="superscript"/>
        </w:rPr>
        <w:t>2</w:t>
      </w:r>
      <w:r w:rsidRPr="00D202F9">
        <w:rPr>
          <w:rFonts w:ascii="Arial" w:hAnsi="Arial" w:cs="Arial"/>
        </w:rPr>
        <w:t>+15×16</w:t>
      </w:r>
      <w:r w:rsidRPr="00D202F9">
        <w:rPr>
          <w:rFonts w:ascii="Arial" w:hAnsi="Arial" w:cs="Arial"/>
          <w:vertAlign w:val="superscript"/>
        </w:rPr>
        <w:t>1</w:t>
      </w:r>
      <w:r w:rsidRPr="00D202F9">
        <w:rPr>
          <w:rFonts w:ascii="Arial" w:hAnsi="Arial" w:cs="Arial"/>
        </w:rPr>
        <w:t>+8×16</w:t>
      </w:r>
      <w:r w:rsidRPr="00D202F9">
        <w:rPr>
          <w:rFonts w:ascii="Arial" w:hAnsi="Arial" w:cs="Arial"/>
          <w:vertAlign w:val="superscript"/>
        </w:rPr>
        <w:t>0</w:t>
      </w:r>
      <w:r w:rsidRPr="00D202F9">
        <w:rPr>
          <w:rFonts w:ascii="Arial" w:hAnsi="Arial" w:cs="Arial"/>
        </w:rPr>
        <w:t>=3×256+15×16+8×1=768+240+8=1016.</w:t>
      </w:r>
    </w:p>
    <w:p w:rsidR="00A07280" w:rsidRPr="00D202F9" w:rsidRDefault="00A07280" w:rsidP="005C4A5F">
      <w:pPr>
        <w:rPr>
          <w:rFonts w:ascii="Arial" w:hAnsi="Arial" w:cs="Arial"/>
        </w:rPr>
      </w:pPr>
    </w:p>
    <w:p w:rsidR="00A07280" w:rsidRPr="00D202F9" w:rsidRDefault="00A07280" w:rsidP="00A07280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Hexadecimális számok különböző programozási nyelvekben</w:t>
      </w:r>
    </w:p>
    <w:p w:rsidR="00A07280" w:rsidRPr="00D202F9" w:rsidRDefault="00A07280" w:rsidP="00A07280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különböző programozási nyelvekben gyakran találkozunk hexadecimális számokkal, és mivel a programozási nyelvek sokfélesége és fejlődése meglehetősen változatos, ezért a hexadecimális számok jelölése is eltérő: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Az Ada és VHDL programozási nyelvekben a számokat numerikus idézőjelben („#” karakter) írjuk (például „20#5A3#”).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 C programozási nyelv és az abból származó nyelvek (például Java, JavaScript) a „0x” előtagot használják (például „0x5A3”). A „0” jelzi a fordító számára, hogy számról van szó, az „x” pedig azt, hogy hexadecimális szám.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 HTML nyelvben szintén az „x” karaktert használják, például a decimális „&amp;#1443;” hexadecimális megfelelője az „&amp;#x5a3;”.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A Pascal-ban és néhány Assembly-verzióban a szám után egy „h” betűt írunk; ha a szám betűkarakterrel kezdődik, elé egy nullát is írunk, például „0A3Ch” vagy „5A3h”.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Más Assembly nyelvekben (AT&amp;T, Motorola), valamint néhány BASIC nyelvjárásban, a </w:t>
      </w:r>
      <w:proofErr w:type="spellStart"/>
      <w:r w:rsidRPr="00D202F9">
        <w:rPr>
          <w:rFonts w:ascii="Arial" w:hAnsi="Arial" w:cs="Arial"/>
        </w:rPr>
        <w:t>Turbo</w:t>
      </w:r>
      <w:proofErr w:type="spellEnd"/>
      <w:r w:rsidRPr="00D202F9">
        <w:rPr>
          <w:rFonts w:ascii="Arial" w:hAnsi="Arial" w:cs="Arial"/>
        </w:rPr>
        <w:t xml:space="preserve"> Pascal-ban és a Delphiben a „$” előtagot használják (például „$5A3”).</w:t>
      </w:r>
    </w:p>
    <w:p w:rsidR="00A07280" w:rsidRPr="00D202F9" w:rsidRDefault="00A07280" w:rsidP="00A07280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D202F9">
        <w:rPr>
          <w:rFonts w:ascii="Arial" w:hAnsi="Arial" w:cs="Arial"/>
        </w:rPr>
        <w:t>Egyes BASIC nyelvjárásokban a „&amp;h” karakterek használatosak (például „&amp;h5A3”).</w:t>
      </w:r>
    </w:p>
    <w:p w:rsidR="005C4A5F" w:rsidRPr="00D202F9" w:rsidRDefault="00A07280" w:rsidP="00AB3206">
      <w:pPr>
        <w:pStyle w:val="NormlWeb"/>
        <w:rPr>
          <w:rFonts w:ascii="Arial" w:hAnsi="Arial" w:cs="Arial"/>
        </w:rPr>
      </w:pPr>
      <w:r w:rsidRPr="00D202F9">
        <w:rPr>
          <w:rStyle w:val="Kiemels2"/>
          <w:rFonts w:ascii="Arial" w:hAnsi="Arial" w:cs="Arial"/>
        </w:rPr>
        <w:t>Megjegyzés:</w:t>
      </w:r>
      <w:r w:rsidRPr="00D202F9">
        <w:rPr>
          <w:rFonts w:ascii="Arial" w:hAnsi="Arial" w:cs="Arial"/>
        </w:rPr>
        <w:t xml:space="preserve"> Az idézőjelek csak a jobb érthetőség kedvéért vannak itt, a programkódban nem szükséges őket használni.</w:t>
      </w:r>
    </w:p>
    <w:p w:rsidR="00A07280" w:rsidRPr="00D202F9" w:rsidRDefault="00A07280" w:rsidP="00A07280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 a számítástechnikában</w:t>
      </w:r>
    </w:p>
    <w:p w:rsidR="00A07280" w:rsidRPr="00D202F9" w:rsidRDefault="00A07280" w:rsidP="00A07280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hexadecimális számrendszer gyakran használatos a számítógépekhez kapcsolódó tudományterületeken. Ennek oka, hogy a 16-os szám alapja 24-nek felel meg, ami azt jelenti, hogy egy hexadecimális szám pontosan négy bitet (1 </w:t>
      </w:r>
      <w:proofErr w:type="spellStart"/>
      <w:r w:rsidRPr="00D202F9">
        <w:rPr>
          <w:rFonts w:ascii="Arial" w:hAnsi="Arial" w:cs="Arial"/>
        </w:rPr>
        <w:t>nibble</w:t>
      </w:r>
      <w:proofErr w:type="spellEnd"/>
      <w:r w:rsidRPr="00D202F9">
        <w:rPr>
          <w:rFonts w:ascii="Arial" w:hAnsi="Arial" w:cs="Arial"/>
        </w:rPr>
        <w:t>-t) képvisel. Így egy bájt értéke egy kétjegyű hexadecimális számmal is kifejezhető (a 00H – FFH intervallumban). Ezzel az ábrázolási módszerrel a bitsorozatok leírása egyszerűbbé válik, könnyebben olvasható és nehezebb eltéveszteni.</w:t>
      </w:r>
    </w:p>
    <w:p w:rsidR="00A07280" w:rsidRPr="00D202F9" w:rsidRDefault="00A07280" w:rsidP="00A07280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drawing>
          <wp:inline distT="0" distB="0" distL="0" distR="0" wp14:anchorId="20D68071" wp14:editId="07F6C0BD">
            <wp:extent cx="5865495" cy="116903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80" w:rsidRPr="00D202F9" w:rsidRDefault="0070772F" w:rsidP="00A07280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  <w:color w:val="202122"/>
          <w:shd w:val="clear" w:color="auto" w:fill="FFFFFF"/>
        </w:rPr>
        <w:t xml:space="preserve">A </w:t>
      </w:r>
      <w:proofErr w:type="spellStart"/>
      <w:r w:rsidRPr="00D202F9">
        <w:rPr>
          <w:rFonts w:ascii="Arial" w:hAnsi="Arial" w:cs="Arial"/>
          <w:color w:val="202122"/>
          <w:shd w:val="clear" w:color="auto" w:fill="FFFFFF"/>
        </w:rPr>
        <w:t>Bailey</w:t>
      </w:r>
      <w:proofErr w:type="spellEnd"/>
      <w:r w:rsidRPr="00D202F9">
        <w:rPr>
          <w:rFonts w:ascii="Arial" w:hAnsi="Arial" w:cs="Arial"/>
          <w:color w:val="202122"/>
          <w:shd w:val="clear" w:color="auto" w:fill="FFFFFF"/>
        </w:rPr>
        <w:t>-</w:t>
      </w:r>
      <w:proofErr w:type="spellStart"/>
      <w:r w:rsidRPr="00D202F9">
        <w:rPr>
          <w:rFonts w:ascii="Arial" w:hAnsi="Arial" w:cs="Arial"/>
          <w:color w:val="202122"/>
          <w:shd w:val="clear" w:color="auto" w:fill="FFFFFF"/>
        </w:rPr>
        <w:t>Borwein</w:t>
      </w:r>
      <w:proofErr w:type="spellEnd"/>
      <w:r w:rsidRPr="00D202F9">
        <w:rPr>
          <w:rFonts w:ascii="Arial" w:hAnsi="Arial" w:cs="Arial"/>
          <w:color w:val="202122"/>
          <w:shd w:val="clear" w:color="auto" w:fill="FFFFFF"/>
        </w:rPr>
        <w:t>-</w:t>
      </w:r>
      <w:proofErr w:type="spellStart"/>
      <w:r w:rsidRPr="00D202F9">
        <w:rPr>
          <w:rFonts w:ascii="Arial" w:hAnsi="Arial" w:cs="Arial"/>
          <w:color w:val="202122"/>
          <w:shd w:val="clear" w:color="auto" w:fill="FFFFFF"/>
        </w:rPr>
        <w:t>Plouffe</w:t>
      </w:r>
      <w:proofErr w:type="spellEnd"/>
      <w:r w:rsidRPr="00D202F9">
        <w:rPr>
          <w:rFonts w:ascii="Arial" w:hAnsi="Arial" w:cs="Arial"/>
          <w:color w:val="202122"/>
          <w:shd w:val="clear" w:color="auto" w:fill="FFFFFF"/>
        </w:rPr>
        <w:t>-összegképlettel a </w:t>
      </w:r>
      <w:r w:rsidRPr="00D202F9">
        <w:rPr>
          <w:rFonts w:ascii="Arial" w:hAnsi="Arial" w:cs="Arial"/>
          <w:shd w:val="clear" w:color="auto" w:fill="FFFFFF"/>
        </w:rPr>
        <w:t>π szám</w:t>
      </w:r>
      <w:r w:rsidRPr="00D202F9">
        <w:rPr>
          <w:rFonts w:ascii="Arial" w:hAnsi="Arial" w:cs="Arial"/>
          <w:color w:val="202122"/>
          <w:shd w:val="clear" w:color="auto" w:fill="FFFFFF"/>
        </w:rPr>
        <w:t> tetszőleges tizenhatodos jegye meghatározható az előző jegyek ismerete nélkül.</w:t>
      </w:r>
    </w:p>
    <w:p w:rsidR="00FF0DA5" w:rsidRPr="00D202F9" w:rsidRDefault="00FF0DA5" w:rsidP="00FF0DA5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Átváltás</w:t>
      </w:r>
    </w:p>
    <w:p w:rsidR="00FF0DA5" w:rsidRPr="00D202F9" w:rsidRDefault="00FF0DA5" w:rsidP="00FF0DA5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Tízes számrendszerből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számrendszerbe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átváltás legkönnyebben úgy érthető meg, ha megvizsgáljuk, hányszor található meg a legnagyobb 16 hatványa az adott számban, és ezt ismételjük addig, amíg a maradék nullára nem csökken.</w:t>
      </w:r>
    </w:p>
    <w:p w:rsidR="00FF0DA5" w:rsidRPr="00D202F9" w:rsidRDefault="00FF0DA5" w:rsidP="00FF0DA5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Sorozatos osztás módszere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előző módszer egy továbbfejlesztett változata a sorozatos osztás módszere.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Ahelyett, hogy egyszerre a legnagyobb hatvánnyal osztanánk, az új alapot használva sorozatosan osztunk, így haladunk a kisebb egységektől a nagyobbak felé. A maradékok az egyre nagyobb egységek számát jelzik. Ennek előnye, hogy nem kell előre megbecsülni a legnagyobb hatványt, ami még kisebb az adott számnál.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Az eredeti számot maradékosan osztjuk tizenhattal, így megkapjuk, hány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van benne. A maradék az egyesek számát adja. Megvizsgáljuk, van-e elég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egy nagyobb egység kialakításához. Ha van, akkor egy újabb maradékos osztással megkapjuk, hány </w:t>
      </w:r>
      <w:proofErr w:type="spellStart"/>
      <w:r w:rsidRPr="00D202F9">
        <w:rPr>
          <w:rFonts w:ascii="Arial" w:hAnsi="Arial" w:cs="Arial"/>
        </w:rPr>
        <w:t>tizenhatost</w:t>
      </w:r>
      <w:proofErr w:type="spellEnd"/>
      <w:r w:rsidRPr="00D202F9">
        <w:rPr>
          <w:rFonts w:ascii="Arial" w:hAnsi="Arial" w:cs="Arial"/>
        </w:rPr>
        <w:t xml:space="preserve"> nem lehet egy nagyobb egységre átváltani. Ismételjük az osztásokat, amíg tizenhatnál kisebb számot nem kapunk. Ez lesz 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számrendszerben írt szám első jegye. A további jegyeket a maradékok fordított sorrendben adják.</w:t>
      </w:r>
    </w:p>
    <w:p w:rsidR="00FF0DA5" w:rsidRPr="00D202F9" w:rsidRDefault="00FF0DA5" w:rsidP="00FF0DA5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Sorozatos szorzás módszere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Ez a módszer nemcsak egész számok átváltására alkalmas, hanem tizedes törtek átváltására is. A nem egész számokat „</w:t>
      </w:r>
      <w:proofErr w:type="spellStart"/>
      <w:r w:rsidRPr="00D202F9">
        <w:rPr>
          <w:rFonts w:ascii="Arial" w:hAnsi="Arial" w:cs="Arial"/>
        </w:rPr>
        <w:t>tizenhatodostörtekként</w:t>
      </w:r>
      <w:proofErr w:type="spellEnd"/>
      <w:r w:rsidRPr="00D202F9">
        <w:rPr>
          <w:rFonts w:ascii="Arial" w:hAnsi="Arial" w:cs="Arial"/>
        </w:rPr>
        <w:t>” fejezhetjük ki a számrendszerben.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Tegyük fel, hogy a tizedestört 0 és 1 közé esik. Szorozzuk meg a </w:t>
      </w:r>
      <w:proofErr w:type="spellStart"/>
      <w:r w:rsidRPr="00D202F9">
        <w:rPr>
          <w:rFonts w:ascii="Arial" w:hAnsi="Arial" w:cs="Arial"/>
        </w:rPr>
        <w:t>tizedestörtet</w:t>
      </w:r>
      <w:proofErr w:type="spellEnd"/>
      <w:r w:rsidRPr="00D202F9">
        <w:rPr>
          <w:rFonts w:ascii="Arial" w:hAnsi="Arial" w:cs="Arial"/>
        </w:rPr>
        <w:t xml:space="preserve"> tizenhattal, és vegyük az egészrészét. Ez megadja a </w:t>
      </w:r>
      <w:proofErr w:type="spellStart"/>
      <w:r w:rsidRPr="00D202F9">
        <w:rPr>
          <w:rFonts w:ascii="Arial" w:hAnsi="Arial" w:cs="Arial"/>
        </w:rPr>
        <w:t>tizenhatodostört</w:t>
      </w:r>
      <w:proofErr w:type="spellEnd"/>
      <w:r w:rsidRPr="00D202F9">
        <w:rPr>
          <w:rFonts w:ascii="Arial" w:hAnsi="Arial" w:cs="Arial"/>
        </w:rPr>
        <w:t xml:space="preserve"> első jegyét. A második szorzás eredményének egészrészeként kapjuk meg a </w:t>
      </w:r>
      <w:proofErr w:type="spellStart"/>
      <w:r w:rsidRPr="00D202F9">
        <w:rPr>
          <w:rFonts w:ascii="Arial" w:hAnsi="Arial" w:cs="Arial"/>
        </w:rPr>
        <w:t>tizenhatodostört</w:t>
      </w:r>
      <w:proofErr w:type="spellEnd"/>
      <w:r w:rsidRPr="00D202F9">
        <w:rPr>
          <w:rFonts w:ascii="Arial" w:hAnsi="Arial" w:cs="Arial"/>
        </w:rPr>
        <w:t xml:space="preserve"> második jegyét, és így tovább.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Véges </w:t>
      </w:r>
      <w:proofErr w:type="spellStart"/>
      <w:r w:rsidRPr="00D202F9">
        <w:rPr>
          <w:rFonts w:ascii="Arial" w:hAnsi="Arial" w:cs="Arial"/>
        </w:rPr>
        <w:t>tizenhatodostört</w:t>
      </w:r>
      <w:proofErr w:type="spellEnd"/>
      <w:r w:rsidRPr="00D202F9">
        <w:rPr>
          <w:rFonts w:ascii="Arial" w:hAnsi="Arial" w:cs="Arial"/>
        </w:rPr>
        <w:t xml:space="preserve"> esetén az eljárás befejeződik. Más racionális számok esetén a módszert addig alkalmazzuk, amíg egy teljes szakaszt nem kapunk. Az irracionális számokra az eljárás nem ér véget, így csak az első n jegyet kapjuk meg.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Ha egy valós számnak van egész- és törtrésze is, akkor ezt a módszert az előző kettő valamelyikével kell kombinálni.</w:t>
      </w:r>
    </w:p>
    <w:p w:rsidR="00FF0DA5" w:rsidRPr="00D202F9" w:rsidRDefault="00FF0DA5" w:rsidP="00FF0DA5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Átváltás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számrendszerből tízes számrendszerbe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átváltás fordított irányában ugyanazokat a módszereket alkalmazhatjuk. Mivel általában a tízes számrendszerben számolunk, egyszerűbb lehet, ha a következő képletet használjuk: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Kétjegyű számokra különösen egyszerű: szorozzuk meg az első jegyet tizenhattal, és adjuk hozzá a második jegyet.</w:t>
      </w:r>
    </w:p>
    <w:p w:rsidR="00FF0DA5" w:rsidRPr="00D202F9" w:rsidRDefault="00FF0DA5" w:rsidP="00FF0DA5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Átszámolási táblázat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programozói gyakorlatban gyakran szükséges a 0 és 255 közötti számok átváltása a tízes és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számrendszerek között. Az alábbi táblázat segítségével gyorsan elvégezhető az átváltás.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táblázat első oszlopa tartalmazza az első számjegyet, az első sora pedig a másodikat (az egyes helyiértéket). A metszéspontban a decimális érték látható.</w:t>
      </w:r>
    </w:p>
    <w:p w:rsidR="00FF0DA5" w:rsidRPr="00D202F9" w:rsidRDefault="00FF0DA5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Például a 179 (10) esetében az első oszlopban „B0” (azaz B0H), az első sorban pedig „03” (azaz 03H) található. Ha összeadjuk, B0 + 03 = B3-at kapunk, amely a 179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megfelelője. A visszaváltás pontosan ennek a fordítottja.</w:t>
      </w:r>
    </w:p>
    <w:p w:rsidR="000D2768" w:rsidRPr="00D202F9" w:rsidRDefault="000D2768" w:rsidP="00FF0DA5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drawing>
          <wp:inline distT="0" distB="0" distL="0" distR="0" wp14:anchorId="26CA5851" wp14:editId="2F7243CF">
            <wp:extent cx="5865495" cy="4773930"/>
            <wp:effectExtent l="0" t="0" r="1905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80" w:rsidRPr="00D202F9" w:rsidRDefault="00A07280" w:rsidP="00AB3206">
      <w:pPr>
        <w:pStyle w:val="NormlWeb"/>
        <w:rPr>
          <w:rFonts w:ascii="Arial" w:hAnsi="Arial" w:cs="Arial"/>
        </w:rPr>
      </w:pPr>
    </w:p>
    <w:p w:rsidR="00D202F9" w:rsidRPr="00D202F9" w:rsidRDefault="00D202F9" w:rsidP="00D202F9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Átváltás </w:t>
      </w:r>
      <w:r w:rsidR="00C31817" w:rsidRPr="00D202F9">
        <w:rPr>
          <w:rFonts w:ascii="Arial" w:hAnsi="Arial" w:cs="Arial"/>
        </w:rPr>
        <w:t>tízes</w:t>
      </w:r>
      <w:r w:rsidRPr="00D202F9">
        <w:rPr>
          <w:rFonts w:ascii="Arial" w:hAnsi="Arial" w:cs="Arial"/>
        </w:rPr>
        <w:t xml:space="preserve"> számrendszerbe a sorozatos szorzás módszerével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egyik legegyszerűbb algoritmus a hexadecimális számrendszerből tízes számrendszerbe történő átváltáshoz a sorozatos szorzás módszere. Ez a módszer könnyen alkalmazható szorzások és összeadások révén. A lényege a következő: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Adott egy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szám, amelynek számjegyei hihi−1…h2h1. Először ezeket a számjegyeket tízes számrendszerbe konvertáljuk. Ezt követően az egyes számjegyeket 16 hatványaival szorozzuk az alábbi képlet szerint. A hatványozás során a kitevő értékét úgy kapjuk meg, hogy a helyiértékből levonunk egyet.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algoritmus képlete így néz ki:</w:t>
      </w:r>
    </w:p>
    <w:p w:rsidR="00C31817" w:rsidRPr="00C31817" w:rsidRDefault="00C31817" w:rsidP="00D202F9">
      <w:pPr>
        <w:pStyle w:val="NormlWeb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decimális érték = </w:t>
      </w:r>
      <w:r w:rsidRPr="00C31817">
        <w:rPr>
          <w:rFonts w:ascii="Arial" w:hAnsi="Arial" w:cs="Arial"/>
        </w:rPr>
        <w:t>h</w:t>
      </w:r>
      <w:r w:rsidRPr="00C31817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*</w:t>
      </w:r>
      <w:r w:rsidRPr="00C31817"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i-1</w:t>
      </w:r>
      <w:r>
        <w:rPr>
          <w:rFonts w:ascii="Arial" w:hAnsi="Arial" w:cs="Arial"/>
        </w:rPr>
        <w:t>+h</w:t>
      </w:r>
      <w:r w:rsidRPr="00C31817">
        <w:rPr>
          <w:rFonts w:ascii="Arial" w:hAnsi="Arial" w:cs="Arial"/>
          <w:vertAlign w:val="subscript"/>
        </w:rPr>
        <w:t>i-1</w:t>
      </w:r>
      <w:r>
        <w:rPr>
          <w:rFonts w:ascii="Arial" w:hAnsi="Arial" w:cs="Arial"/>
        </w:rPr>
        <w:t>*16i-2+…h</w:t>
      </w:r>
      <w:r w:rsidRPr="00C31817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*16</w:t>
      </w:r>
      <w:r w:rsidRPr="00C31817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+h</w:t>
      </w:r>
      <w:r w:rsidRPr="00C31817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*16</w:t>
      </w:r>
      <w:r w:rsidRPr="00C31817">
        <w:rPr>
          <w:rFonts w:ascii="Arial" w:hAnsi="Arial" w:cs="Arial"/>
          <w:vertAlign w:val="superscript"/>
        </w:rPr>
        <w:t>0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Például a 3F hexadecimális számot így alakíthatjuk át decimálissá:</w:t>
      </w:r>
    </w:p>
    <w:p w:rsidR="00B920EE" w:rsidRPr="004E6863" w:rsidRDefault="00B920EE" w:rsidP="004E6863">
      <w:pPr>
        <w:pStyle w:val="Cmsor3"/>
        <w:ind w:firstLine="708"/>
        <w:rPr>
          <w:rFonts w:ascii="Arial" w:hAnsi="Arial" w:cs="Arial"/>
          <w:b w:val="0"/>
          <w:sz w:val="24"/>
        </w:rPr>
      </w:pPr>
      <w:r w:rsidRPr="004E6863">
        <w:rPr>
          <w:rFonts w:ascii="Arial" w:hAnsi="Arial" w:cs="Arial"/>
          <w:b w:val="0"/>
          <w:sz w:val="24"/>
        </w:rPr>
        <w:t>3F = 3*16</w:t>
      </w:r>
      <w:r w:rsidRPr="004E6863">
        <w:rPr>
          <w:rFonts w:ascii="Arial" w:hAnsi="Arial" w:cs="Arial"/>
          <w:b w:val="0"/>
          <w:sz w:val="24"/>
          <w:vertAlign w:val="superscript"/>
        </w:rPr>
        <w:t>1</w:t>
      </w:r>
      <w:r w:rsidRPr="004E6863">
        <w:rPr>
          <w:rFonts w:ascii="Arial" w:hAnsi="Arial" w:cs="Arial"/>
          <w:b w:val="0"/>
          <w:sz w:val="24"/>
        </w:rPr>
        <w:t>+F*16</w:t>
      </w:r>
      <w:r w:rsidRPr="004E6863">
        <w:rPr>
          <w:rFonts w:ascii="Arial" w:hAnsi="Arial" w:cs="Arial"/>
          <w:b w:val="0"/>
          <w:sz w:val="24"/>
          <w:vertAlign w:val="superscript"/>
        </w:rPr>
        <w:t>0</w:t>
      </w:r>
      <w:r w:rsidRPr="004E6863">
        <w:rPr>
          <w:rFonts w:ascii="Arial" w:hAnsi="Arial" w:cs="Arial"/>
          <w:b w:val="0"/>
          <w:sz w:val="24"/>
        </w:rPr>
        <w:t xml:space="preserve"> = 3*16+15*1 = 63</w:t>
      </w:r>
      <w:bookmarkStart w:id="0" w:name="_GoBack"/>
      <w:bookmarkEnd w:id="0"/>
    </w:p>
    <w:p w:rsidR="00D202F9" w:rsidRPr="00D202F9" w:rsidRDefault="00D202F9" w:rsidP="00D202F9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Átváltás más 2-hatvány alapú számrendszerekbe és vissza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számokat különösen egyszerű egy másik 2-hatvány alapú számrendszerbe átírni, mivel a 16 is egy 2 hatványa.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Átváltás kettes számrendszerbe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Helyettesítsünk minden jegyet azok kettes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alakjával.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Átváltás kettes számrendszerből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Az eljárás fordítottja: osszuk a biteket hátulról kezdve négyes csoportokra, és helyettesítsünk minden négyest 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alakjával.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Átváltás négyes számrendszerbe és vissza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Bővebben lásd: Négyes </w:t>
      </w:r>
      <w:proofErr w:type="spellStart"/>
      <w:r w:rsidRPr="00D202F9">
        <w:rPr>
          <w:rFonts w:ascii="Arial" w:hAnsi="Arial" w:cs="Arial"/>
        </w:rPr>
        <w:t>számrendszer#Átváltása</w:t>
      </w:r>
      <w:proofErr w:type="spellEnd"/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Átváltás nyolcas számrendszerbe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Ez az átváltás az </w:t>
      </w:r>
      <w:proofErr w:type="spellStart"/>
      <w:r w:rsidRPr="00D202F9">
        <w:rPr>
          <w:rFonts w:ascii="Arial" w:hAnsi="Arial" w:cs="Arial"/>
        </w:rPr>
        <w:t>előzőekhez</w:t>
      </w:r>
      <w:proofErr w:type="spellEnd"/>
      <w:r w:rsidRPr="00D202F9">
        <w:rPr>
          <w:rFonts w:ascii="Arial" w:hAnsi="Arial" w:cs="Arial"/>
        </w:rPr>
        <w:t xml:space="preserve"> hasonlóan végezhető el. Először 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számrendszerben megadott számot átírjuk kettes számrendszerbe, majd onnan tovább nyolcas számrendszerbe: osszuk a biteket hátulról kezdve hármas csoportokba, és minden hármas helyett írjuk azok nyolcas </w:t>
      </w:r>
      <w:proofErr w:type="spellStart"/>
      <w:r w:rsidRPr="00D202F9">
        <w:rPr>
          <w:rFonts w:ascii="Arial" w:hAnsi="Arial" w:cs="Arial"/>
        </w:rPr>
        <w:t>számrendszerbeli</w:t>
      </w:r>
      <w:proofErr w:type="spellEnd"/>
      <w:r w:rsidRPr="00D202F9">
        <w:rPr>
          <w:rFonts w:ascii="Arial" w:hAnsi="Arial" w:cs="Arial"/>
        </w:rPr>
        <w:t xml:space="preserve"> alakját.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Átváltás nyolcas számrendszerből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Az előző algoritmus fordítottjával ez az átváltás is egyszerű.</w:t>
      </w:r>
    </w:p>
    <w:p w:rsidR="00D202F9" w:rsidRPr="00D202F9" w:rsidRDefault="00D202F9" w:rsidP="00D202F9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>Hexadecimális törtek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helyiértékes rendszerekben a tizedesvessző után álló n-edik jegy helyiértéke:</w:t>
      </w:r>
    </w:p>
    <w:p w:rsidR="00D202F9" w:rsidRPr="00D202F9" w:rsidRDefault="00D202F9" w:rsidP="00D202F9">
      <w:pPr>
        <w:rPr>
          <w:rFonts w:ascii="Arial" w:hAnsi="Arial" w:cs="Arial"/>
        </w:rPr>
      </w:pPr>
      <w:r w:rsidRPr="00D202F9">
        <w:rPr>
          <w:rFonts w:ascii="Arial" w:hAnsi="Arial" w:cs="Arial"/>
        </w:rPr>
        <w:t>1Bn\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</w:t>
      </w:r>
      <w:proofErr w:type="spellStart"/>
      <w:r w:rsidRPr="00D202F9">
        <w:rPr>
          <w:rFonts w:ascii="Arial" w:hAnsi="Arial" w:cs="Arial"/>
        </w:rPr>
        <w:t>B^n</w:t>
      </w:r>
      <w:proofErr w:type="spellEnd"/>
      <w:r w:rsidRPr="00D202F9">
        <w:rPr>
          <w:rFonts w:ascii="Arial" w:hAnsi="Arial" w:cs="Arial"/>
        </w:rPr>
        <w:t>}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ahol B a számrendszer alapját jelöli. Így a </w:t>
      </w:r>
      <w:proofErr w:type="spellStart"/>
      <w:r w:rsidRPr="00D202F9">
        <w:rPr>
          <w:rFonts w:ascii="Arial" w:hAnsi="Arial" w:cs="Arial"/>
        </w:rPr>
        <w:t>tizenhatodosvessző</w:t>
      </w:r>
      <w:proofErr w:type="spellEnd"/>
      <w:r w:rsidRPr="00D202F9">
        <w:rPr>
          <w:rFonts w:ascii="Arial" w:hAnsi="Arial" w:cs="Arial"/>
        </w:rPr>
        <w:t xml:space="preserve"> utáni első jegy helyiértéke: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$$\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{1}{16^1} = 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{1}{16}$$,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másodiké: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$$\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{1}{16^2} = 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{1}{256}$$,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a harmadiké: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$$\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{1}{16^3} = \</w:t>
      </w:r>
      <w:proofErr w:type="spellStart"/>
      <w:r w:rsidRPr="00D202F9">
        <w:rPr>
          <w:rFonts w:ascii="Arial" w:hAnsi="Arial" w:cs="Arial"/>
        </w:rPr>
        <w:t>frac</w:t>
      </w:r>
      <w:proofErr w:type="spellEnd"/>
      <w:r w:rsidRPr="00D202F9">
        <w:rPr>
          <w:rFonts w:ascii="Arial" w:hAnsi="Arial" w:cs="Arial"/>
        </w:rPr>
        <w:t>{1}{4096}$$,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>és így tovább.</w:t>
      </w:r>
    </w:p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Mivel a 16 a 2 hatványa, és a 2 prímszám, a 16-nak csak egy prímosztója van. Így a törtek csak akkor írhatók fel véges </w:t>
      </w:r>
      <w:proofErr w:type="spellStart"/>
      <w:r w:rsidRPr="00D202F9">
        <w:rPr>
          <w:rFonts w:ascii="Arial" w:hAnsi="Arial" w:cs="Arial"/>
        </w:rPr>
        <w:t>tizenhatodostörtként</w:t>
      </w:r>
      <w:proofErr w:type="spellEnd"/>
      <w:r w:rsidRPr="00D202F9">
        <w:rPr>
          <w:rFonts w:ascii="Arial" w:hAnsi="Arial" w:cs="Arial"/>
        </w:rPr>
        <w:t xml:space="preserve">, ha a nevezőjük kettő hatványa, más esetekben szakaszos végtelen </w:t>
      </w:r>
      <w:proofErr w:type="spellStart"/>
      <w:r w:rsidRPr="00D202F9">
        <w:rPr>
          <w:rFonts w:ascii="Arial" w:hAnsi="Arial" w:cs="Arial"/>
        </w:rPr>
        <w:t>tizenhatodostörtként</w:t>
      </w:r>
      <w:proofErr w:type="spellEnd"/>
      <w:r w:rsidRPr="00D202F9">
        <w:rPr>
          <w:rFonts w:ascii="Arial" w:hAnsi="Arial" w:cs="Arial"/>
        </w:rPr>
        <w:t xml:space="preserve"> jelennek meg: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277"/>
      </w:tblGrid>
      <w:tr w:rsidR="00D202F9" w:rsidRPr="00D202F9" w:rsidTr="00D20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D202F9">
              <w:rPr>
                <w:rFonts w:ascii="Arial" w:hAnsi="Arial" w:cs="Arial"/>
                <w:b/>
                <w:bCs/>
              </w:rPr>
              <w:t>Tizedestört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D202F9">
              <w:rPr>
                <w:rFonts w:ascii="Arial" w:hAnsi="Arial" w:cs="Arial"/>
                <w:b/>
                <w:bCs/>
              </w:rPr>
              <w:t>Hexadecimális törtek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1/2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0.8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1/3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0.5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1/4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0.4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1/5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0.3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1/6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0.2A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1/7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0.249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1/8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0.2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1/9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0.1C7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1/A (1/10)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0.19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1/B (1/11)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0.1745D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1/C (1/12)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0.15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1/D (1/13)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0.13B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1/E (1/14)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0.1249</w:t>
            </w:r>
          </w:p>
        </w:tc>
      </w:tr>
      <w:tr w:rsidR="00D202F9" w:rsidRPr="00D202F9" w:rsidTr="00D202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1/F (1/15)</w:t>
            </w:r>
          </w:p>
        </w:tc>
        <w:tc>
          <w:tcPr>
            <w:tcW w:w="0" w:type="auto"/>
            <w:vAlign w:val="center"/>
            <w:hideMark/>
          </w:tcPr>
          <w:p w:rsidR="00D202F9" w:rsidRPr="00D202F9" w:rsidRDefault="00D202F9">
            <w:pPr>
              <w:rPr>
                <w:rFonts w:ascii="Arial" w:hAnsi="Arial" w:cs="Arial"/>
              </w:rPr>
            </w:pPr>
            <w:r w:rsidRPr="00D202F9">
              <w:rPr>
                <w:rFonts w:ascii="Arial" w:hAnsi="Arial" w:cs="Arial"/>
              </w:rPr>
              <w:t>0.1</w:t>
            </w:r>
          </w:p>
        </w:tc>
      </w:tr>
    </w:tbl>
    <w:p w:rsidR="00D202F9" w:rsidRPr="00D202F9" w:rsidRDefault="00D202F9" w:rsidP="00D202F9">
      <w:pPr>
        <w:pStyle w:val="NormlWeb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táblázatban a </w:t>
      </w:r>
      <w:proofErr w:type="spellStart"/>
      <w:r w:rsidRPr="00D202F9">
        <w:rPr>
          <w:rFonts w:ascii="Arial" w:hAnsi="Arial" w:cs="Arial"/>
        </w:rPr>
        <w:t>föléhúzás</w:t>
      </w:r>
      <w:proofErr w:type="spellEnd"/>
      <w:r w:rsidRPr="00D202F9">
        <w:rPr>
          <w:rFonts w:ascii="Arial" w:hAnsi="Arial" w:cs="Arial"/>
        </w:rPr>
        <w:t xml:space="preserve"> a végtelenségig ismétlődő számjegyeket jelöli.</w:t>
      </w:r>
    </w:p>
    <w:p w:rsidR="00D202F9" w:rsidRPr="00D202F9" w:rsidRDefault="00D202F9" w:rsidP="00D202F9">
      <w:pPr>
        <w:pStyle w:val="Cmsor3"/>
        <w:rPr>
          <w:rFonts w:ascii="Arial" w:hAnsi="Arial" w:cs="Arial"/>
        </w:rPr>
      </w:pPr>
      <w:r w:rsidRPr="00D202F9">
        <w:rPr>
          <w:rFonts w:ascii="Arial" w:hAnsi="Arial" w:cs="Arial"/>
        </w:rPr>
        <w:t xml:space="preserve">A </w:t>
      </w:r>
      <w:proofErr w:type="spellStart"/>
      <w:r w:rsidRPr="00D202F9">
        <w:rPr>
          <w:rFonts w:ascii="Arial" w:hAnsi="Arial" w:cs="Arial"/>
        </w:rPr>
        <w:t>tizenhatos</w:t>
      </w:r>
      <w:proofErr w:type="spellEnd"/>
      <w:r w:rsidRPr="00D202F9">
        <w:rPr>
          <w:rFonts w:ascii="Arial" w:hAnsi="Arial" w:cs="Arial"/>
        </w:rPr>
        <w:t xml:space="preserve"> számrendszer matematikai ábrázolása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Decimális számrendszerben:</w:t>
      </w:r>
    </w:p>
    <w:p w:rsidR="00D202F9" w:rsidRPr="00D202F9" w:rsidRDefault="00D202F9" w:rsidP="00D202F9">
      <w:pPr>
        <w:rPr>
          <w:rFonts w:ascii="Arial" w:hAnsi="Arial" w:cs="Arial"/>
        </w:rPr>
      </w:pPr>
      <w:r w:rsidRPr="00D202F9">
        <w:rPr>
          <w:rFonts w:ascii="Arial" w:hAnsi="Arial" w:cs="Arial"/>
        </w:rPr>
        <w:t>hmhm−1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h0,h−1h−2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h−n=∑i=−</w:t>
      </w:r>
      <w:proofErr w:type="spellStart"/>
      <w:r w:rsidRPr="00D202F9">
        <w:rPr>
          <w:rFonts w:ascii="Arial" w:hAnsi="Arial" w:cs="Arial"/>
        </w:rPr>
        <w:t>nmhi</w:t>
      </w:r>
      <w:proofErr w:type="spellEnd"/>
      <w:r w:rsidRPr="00D202F9">
        <w:rPr>
          <w:rFonts w:ascii="Cambria Math" w:hAnsi="Cambria Math" w:cs="Cambria Math"/>
        </w:rPr>
        <w:t>⋅</w:t>
      </w:r>
      <w:r w:rsidRPr="00D202F9">
        <w:rPr>
          <w:rFonts w:ascii="Arial" w:hAnsi="Arial" w:cs="Arial"/>
        </w:rPr>
        <w:t>(1610)</w:t>
      </w:r>
      <w:proofErr w:type="spellStart"/>
      <w:r w:rsidRPr="00D202F9">
        <w:rPr>
          <w:rFonts w:ascii="Arial" w:hAnsi="Arial" w:cs="Arial"/>
        </w:rPr>
        <w:t>i,m,n</w:t>
      </w:r>
      <w:r w:rsidRPr="00D202F9">
        <w:rPr>
          <w:rFonts w:ascii="Cambria Math" w:hAnsi="Cambria Math" w:cs="Cambria Math"/>
        </w:rPr>
        <w:t>∈</w:t>
      </w:r>
      <w:r w:rsidRPr="00D202F9">
        <w:rPr>
          <w:rFonts w:ascii="Arial" w:hAnsi="Arial" w:cs="Arial"/>
        </w:rPr>
        <w:t>N,hi</w:t>
      </w:r>
      <w:proofErr w:type="spellEnd"/>
      <w:r w:rsidRPr="00D202F9">
        <w:rPr>
          <w:rFonts w:ascii="Cambria Math" w:hAnsi="Cambria Math" w:cs="Cambria Math"/>
        </w:rPr>
        <w:t>∈</w:t>
      </w:r>
      <w:r w:rsidRPr="00D202F9">
        <w:rPr>
          <w:rFonts w:ascii="Arial" w:hAnsi="Arial" w:cs="Arial"/>
        </w:rPr>
        <w:t>{0;1;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 ;15}</w:t>
      </w:r>
      <w:proofErr w:type="spellStart"/>
      <w:r w:rsidRPr="00D202F9">
        <w:rPr>
          <w:rFonts w:ascii="Arial" w:hAnsi="Arial" w:cs="Arial"/>
        </w:rPr>
        <w:t>h_m</w:t>
      </w:r>
      <w:proofErr w:type="spellEnd"/>
      <w:r w:rsidRPr="00D202F9">
        <w:rPr>
          <w:rFonts w:ascii="Arial" w:hAnsi="Arial" w:cs="Arial"/>
        </w:rPr>
        <w:t xml:space="preserve"> h_{m-1} \</w:t>
      </w:r>
      <w:proofErr w:type="spellStart"/>
      <w:r w:rsidRPr="00D202F9">
        <w:rPr>
          <w:rFonts w:ascii="Arial" w:hAnsi="Arial" w:cs="Arial"/>
        </w:rPr>
        <w:t>cdots</w:t>
      </w:r>
      <w:proofErr w:type="spellEnd"/>
      <w:r w:rsidRPr="00D202F9">
        <w:rPr>
          <w:rFonts w:ascii="Arial" w:hAnsi="Arial" w:cs="Arial"/>
        </w:rPr>
        <w:t xml:space="preserve"> h_0 , h_{-1} h_{-2} \</w:t>
      </w:r>
      <w:proofErr w:type="spellStart"/>
      <w:r w:rsidRPr="00D202F9">
        <w:rPr>
          <w:rFonts w:ascii="Arial" w:hAnsi="Arial" w:cs="Arial"/>
        </w:rPr>
        <w:t>cdots</w:t>
      </w:r>
      <w:proofErr w:type="spellEnd"/>
      <w:r w:rsidRPr="00D202F9">
        <w:rPr>
          <w:rFonts w:ascii="Arial" w:hAnsi="Arial" w:cs="Arial"/>
        </w:rPr>
        <w:t xml:space="preserve"> h_{-n} = \sum_{i=-n}^{m} </w:t>
      </w:r>
      <w:proofErr w:type="spellStart"/>
      <w:r w:rsidRPr="00D202F9">
        <w:rPr>
          <w:rFonts w:ascii="Arial" w:hAnsi="Arial" w:cs="Arial"/>
        </w:rPr>
        <w:t>h_i</w:t>
      </w:r>
      <w:proofErr w:type="spellEnd"/>
      <w:r w:rsidRPr="00D202F9">
        <w:rPr>
          <w:rFonts w:ascii="Arial" w:hAnsi="Arial" w:cs="Arial"/>
        </w:rPr>
        <w:t xml:space="preserve"> \</w:t>
      </w:r>
      <w:proofErr w:type="spellStart"/>
      <w:r w:rsidRPr="00D202F9">
        <w:rPr>
          <w:rFonts w:ascii="Arial" w:hAnsi="Arial" w:cs="Arial"/>
        </w:rPr>
        <w:t>cdot</w:t>
      </w:r>
      <w:proofErr w:type="spellEnd"/>
      <w:r w:rsidRPr="00D202F9">
        <w:rPr>
          <w:rFonts w:ascii="Arial" w:hAnsi="Arial" w:cs="Arial"/>
        </w:rPr>
        <w:t xml:space="preserve"> (16_{10})^i , m, n \in \</w:t>
      </w:r>
      <w:proofErr w:type="spellStart"/>
      <w:r w:rsidRPr="00D202F9">
        <w:rPr>
          <w:rFonts w:ascii="Arial" w:hAnsi="Arial" w:cs="Arial"/>
        </w:rPr>
        <w:t>mathbb</w:t>
      </w:r>
      <w:proofErr w:type="spellEnd"/>
      <w:r w:rsidRPr="00D202F9">
        <w:rPr>
          <w:rFonts w:ascii="Arial" w:hAnsi="Arial" w:cs="Arial"/>
        </w:rPr>
        <w:t xml:space="preserve">{N}, </w:t>
      </w:r>
      <w:proofErr w:type="spellStart"/>
      <w:r w:rsidRPr="00D202F9">
        <w:rPr>
          <w:rFonts w:ascii="Arial" w:hAnsi="Arial" w:cs="Arial"/>
        </w:rPr>
        <w:t>h_i</w:t>
      </w:r>
      <w:proofErr w:type="spellEnd"/>
      <w:r w:rsidRPr="00D202F9">
        <w:rPr>
          <w:rFonts w:ascii="Arial" w:hAnsi="Arial" w:cs="Arial"/>
        </w:rPr>
        <w:t xml:space="preserve"> \in \{0;1;\cdots;15\}</w:t>
      </w:r>
    </w:p>
    <w:p w:rsidR="00D202F9" w:rsidRPr="00D202F9" w:rsidRDefault="00D202F9" w:rsidP="00D202F9">
      <w:pPr>
        <w:pStyle w:val="Cmsor4"/>
        <w:rPr>
          <w:rFonts w:ascii="Arial" w:hAnsi="Arial" w:cs="Arial"/>
        </w:rPr>
      </w:pPr>
      <w:r w:rsidRPr="00D202F9">
        <w:rPr>
          <w:rFonts w:ascii="Arial" w:hAnsi="Arial" w:cs="Arial"/>
        </w:rPr>
        <w:t>Hexadecimális számrendszerben:</w:t>
      </w:r>
    </w:p>
    <w:p w:rsidR="00D202F9" w:rsidRPr="00D202F9" w:rsidRDefault="00D202F9" w:rsidP="00D202F9">
      <w:pPr>
        <w:rPr>
          <w:rFonts w:ascii="Arial" w:hAnsi="Arial" w:cs="Arial"/>
        </w:rPr>
      </w:pPr>
      <w:r w:rsidRPr="00D202F9">
        <w:rPr>
          <w:rFonts w:ascii="Arial" w:hAnsi="Arial" w:cs="Arial"/>
        </w:rPr>
        <w:t>hmhm−1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h0,h−1h−2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h−n=∑i=−</w:t>
      </w:r>
      <w:proofErr w:type="spellStart"/>
      <w:r w:rsidRPr="00D202F9">
        <w:rPr>
          <w:rFonts w:ascii="Arial" w:hAnsi="Arial" w:cs="Arial"/>
        </w:rPr>
        <w:t>nmhi</w:t>
      </w:r>
      <w:proofErr w:type="spellEnd"/>
      <w:r w:rsidRPr="00D202F9">
        <w:rPr>
          <w:rFonts w:ascii="Cambria Math" w:hAnsi="Cambria Math" w:cs="Cambria Math"/>
        </w:rPr>
        <w:t>⋅</w:t>
      </w:r>
      <w:r w:rsidRPr="00D202F9">
        <w:rPr>
          <w:rFonts w:ascii="Arial" w:hAnsi="Arial" w:cs="Arial"/>
        </w:rPr>
        <w:t>(1016)</w:t>
      </w:r>
      <w:proofErr w:type="spellStart"/>
      <w:r w:rsidRPr="00D202F9">
        <w:rPr>
          <w:rFonts w:ascii="Arial" w:hAnsi="Arial" w:cs="Arial"/>
        </w:rPr>
        <w:t>i,m,n</w:t>
      </w:r>
      <w:r w:rsidRPr="00D202F9">
        <w:rPr>
          <w:rFonts w:ascii="Cambria Math" w:hAnsi="Cambria Math" w:cs="Cambria Math"/>
        </w:rPr>
        <w:t>∈</w:t>
      </w:r>
      <w:r w:rsidRPr="00D202F9">
        <w:rPr>
          <w:rFonts w:ascii="Arial" w:hAnsi="Arial" w:cs="Arial"/>
        </w:rPr>
        <w:t>N,hi</w:t>
      </w:r>
      <w:proofErr w:type="spellEnd"/>
      <w:r w:rsidRPr="00D202F9">
        <w:rPr>
          <w:rFonts w:ascii="Cambria Math" w:hAnsi="Cambria Math" w:cs="Cambria Math"/>
        </w:rPr>
        <w:t>∈</w:t>
      </w:r>
      <w:r w:rsidRPr="00D202F9">
        <w:rPr>
          <w:rFonts w:ascii="Arial" w:hAnsi="Arial" w:cs="Arial"/>
        </w:rPr>
        <w:t>{0;1;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 ;9;A;</w:t>
      </w:r>
      <w:r w:rsidRPr="00D202F9">
        <w:rPr>
          <w:rFonts w:ascii="Cambria Math" w:hAnsi="Cambria Math" w:cs="Cambria Math"/>
        </w:rPr>
        <w:t>⋯</w:t>
      </w:r>
      <w:r w:rsidRPr="00D202F9">
        <w:rPr>
          <w:rFonts w:ascii="Arial" w:hAnsi="Arial" w:cs="Arial"/>
        </w:rPr>
        <w:t> ;F}</w:t>
      </w:r>
    </w:p>
    <w:p w:rsidR="00AB3206" w:rsidRPr="00D202F9" w:rsidRDefault="00AB3206" w:rsidP="00AB32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sectPr w:rsidR="00AB3206" w:rsidRPr="00D202F9" w:rsidSect="00DD765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06" w:rsidRDefault="00AB3206" w:rsidP="00AB3206">
      <w:pPr>
        <w:spacing w:after="0" w:line="240" w:lineRule="auto"/>
      </w:pPr>
      <w:r>
        <w:separator/>
      </w:r>
    </w:p>
  </w:endnote>
  <w:endnote w:type="continuationSeparator" w:id="0">
    <w:p w:rsidR="00AB3206" w:rsidRDefault="00AB3206" w:rsidP="00AB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06" w:rsidRDefault="00AB3206" w:rsidP="00AB3206">
      <w:pPr>
        <w:spacing w:after="0" w:line="240" w:lineRule="auto"/>
      </w:pPr>
      <w:r>
        <w:separator/>
      </w:r>
    </w:p>
  </w:footnote>
  <w:footnote w:type="continuationSeparator" w:id="0">
    <w:p w:rsidR="00AB3206" w:rsidRDefault="00AB3206" w:rsidP="00AB3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716F4"/>
    <w:multiLevelType w:val="multilevel"/>
    <w:tmpl w:val="677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761FF"/>
    <w:multiLevelType w:val="multilevel"/>
    <w:tmpl w:val="9A7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76"/>
    <w:rsid w:val="000D2768"/>
    <w:rsid w:val="001041A6"/>
    <w:rsid w:val="001D564F"/>
    <w:rsid w:val="00201031"/>
    <w:rsid w:val="003506C5"/>
    <w:rsid w:val="00446885"/>
    <w:rsid w:val="004E6863"/>
    <w:rsid w:val="005C4A5F"/>
    <w:rsid w:val="0070772F"/>
    <w:rsid w:val="0077243F"/>
    <w:rsid w:val="007E5876"/>
    <w:rsid w:val="00887452"/>
    <w:rsid w:val="00A07280"/>
    <w:rsid w:val="00AB3206"/>
    <w:rsid w:val="00B920EE"/>
    <w:rsid w:val="00C31817"/>
    <w:rsid w:val="00C32AB9"/>
    <w:rsid w:val="00D202F9"/>
    <w:rsid w:val="00F86847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EC81"/>
  <w15:chartTrackingRefBased/>
  <w15:docId w15:val="{D4174597-7468-4AB8-866C-F26AB05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3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0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DD76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DD7653"/>
    <w:rPr>
      <w:rFonts w:ascii="Consolas" w:hAnsi="Consolas"/>
      <w:sz w:val="21"/>
      <w:szCs w:val="21"/>
    </w:rPr>
  </w:style>
  <w:style w:type="paragraph" w:styleId="NormlWeb">
    <w:name w:val="Normal (Web)"/>
    <w:basedOn w:val="Norml"/>
    <w:uiPriority w:val="99"/>
    <w:unhideWhenUsed/>
    <w:rsid w:val="00F8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F86847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C32AB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AB3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206"/>
  </w:style>
  <w:style w:type="paragraph" w:styleId="llb">
    <w:name w:val="footer"/>
    <w:basedOn w:val="Norml"/>
    <w:link w:val="llbChar"/>
    <w:uiPriority w:val="99"/>
    <w:unhideWhenUsed/>
    <w:rsid w:val="00AB3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206"/>
  </w:style>
  <w:style w:type="character" w:styleId="Kiemels2">
    <w:name w:val="Strong"/>
    <w:basedOn w:val="Bekezdsalapbettpusa"/>
    <w:uiPriority w:val="22"/>
    <w:qFormat/>
    <w:rsid w:val="00A07280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70772F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0D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1498</Words>
  <Characters>10337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Ágoston</dc:creator>
  <cp:keywords/>
  <dc:description/>
  <cp:lastModifiedBy>Kun Ágoston</cp:lastModifiedBy>
  <cp:revision>22</cp:revision>
  <dcterms:created xsi:type="dcterms:W3CDTF">2025-02-24T10:13:00Z</dcterms:created>
  <dcterms:modified xsi:type="dcterms:W3CDTF">2025-02-24T11:08:00Z</dcterms:modified>
</cp:coreProperties>
</file>