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Proposal</w:t>
      </w:r>
      <w:r>
        <w:t xml:space="preserve"> </w:t>
      </w:r>
      <w:r>
        <w:t xml:space="preserve">checklist</w:t>
      </w:r>
    </w:p>
    <w:bookmarkStart w:id="20" w:name="smart"/>
    <w:p>
      <w:pPr>
        <w:pStyle w:val="Heading1"/>
      </w:pPr>
      <w:r>
        <w:t xml:space="preserve">SMART</w:t>
      </w:r>
    </w:p>
    <w:p>
      <w:pPr>
        <w:numPr>
          <w:ilvl w:val="0"/>
          <w:numId w:val="1001"/>
        </w:numPr>
        <w:pStyle w:val="Compact"/>
      </w:pPr>
      <w:r>
        <w:t xml:space="preserve">☐ Specific</w:t>
      </w:r>
    </w:p>
    <w:p>
      <w:pPr>
        <w:numPr>
          <w:ilvl w:val="0"/>
          <w:numId w:val="1001"/>
        </w:numPr>
        <w:pStyle w:val="Compact"/>
      </w:pPr>
      <w:r>
        <w:t xml:space="preserve">☐ Measurable</w:t>
      </w:r>
    </w:p>
    <w:p>
      <w:pPr>
        <w:numPr>
          <w:ilvl w:val="0"/>
          <w:numId w:val="1001"/>
        </w:numPr>
        <w:pStyle w:val="Compact"/>
      </w:pPr>
      <w:r>
        <w:t xml:space="preserve">☐ Achievable</w:t>
      </w:r>
    </w:p>
    <w:p>
      <w:pPr>
        <w:numPr>
          <w:ilvl w:val="0"/>
          <w:numId w:val="1001"/>
        </w:numPr>
        <w:pStyle w:val="Compact"/>
      </w:pPr>
      <w:r>
        <w:t xml:space="preserve">☐ Relevant</w:t>
      </w:r>
    </w:p>
    <w:p>
      <w:pPr>
        <w:numPr>
          <w:ilvl w:val="0"/>
          <w:numId w:val="1001"/>
        </w:numPr>
        <w:pStyle w:val="Compact"/>
      </w:pPr>
      <w:r>
        <w:t xml:space="preserve">☐ Timeline</w:t>
      </w:r>
    </w:p>
    <w:bookmarkEnd w:id="20"/>
    <w:bookmarkStart w:id="21" w:name="writing-quality"/>
    <w:p>
      <w:pPr>
        <w:pStyle w:val="Heading1"/>
      </w:pPr>
      <w:r>
        <w:t xml:space="preserve">Writing Quality</w:t>
      </w:r>
    </w:p>
    <w:p>
      <w:pPr>
        <w:numPr>
          <w:ilvl w:val="0"/>
          <w:numId w:val="1002"/>
        </w:numPr>
        <w:pStyle w:val="Compact"/>
      </w:pPr>
      <w:r>
        <w:t xml:space="preserve">☐ Grammatically correct</w:t>
      </w:r>
    </w:p>
    <w:p>
      <w:pPr>
        <w:numPr>
          <w:ilvl w:val="0"/>
          <w:numId w:val="1002"/>
        </w:numPr>
        <w:pStyle w:val="Compact"/>
      </w:pPr>
      <w:r>
        <w:t xml:space="preserve">☐ Sentences flow from one to the next</w:t>
      </w:r>
    </w:p>
    <w:p>
      <w:pPr>
        <w:numPr>
          <w:ilvl w:val="0"/>
          <w:numId w:val="1002"/>
        </w:numPr>
        <w:pStyle w:val="Compact"/>
      </w:pPr>
      <w:r>
        <w:t xml:space="preserve">☐ Each paragraph has an appropriate topic and concluding sentence</w:t>
      </w:r>
    </w:p>
    <w:p>
      <w:pPr>
        <w:numPr>
          <w:ilvl w:val="0"/>
          <w:numId w:val="1002"/>
        </w:numPr>
        <w:pStyle w:val="Compact"/>
      </w:pPr>
      <w:r>
        <w:t xml:space="preserve">☐ Sections are clearly laid out and content within sections remain relevant to that section</w:t>
      </w:r>
    </w:p>
    <w:bookmarkEnd w:id="21"/>
    <w:bookmarkStart w:id="22" w:name="style"/>
    <w:p>
      <w:pPr>
        <w:pStyle w:val="Heading1"/>
      </w:pPr>
      <w:r>
        <w:t xml:space="preserve">Style</w:t>
      </w:r>
    </w:p>
    <w:p>
      <w:pPr>
        <w:numPr>
          <w:ilvl w:val="0"/>
          <w:numId w:val="1003"/>
        </w:numPr>
        <w:pStyle w:val="Compact"/>
      </w:pPr>
      <w:r>
        <w:t xml:space="preserve">☐ Equations typeset, quantities explained</w:t>
      </w:r>
    </w:p>
    <w:p>
      <w:pPr>
        <w:numPr>
          <w:ilvl w:val="0"/>
          <w:numId w:val="1003"/>
        </w:numPr>
        <w:pStyle w:val="Compact"/>
      </w:pPr>
      <w:r>
        <w:t xml:space="preserve">☐ In-text content appropriately type-set</w:t>
      </w:r>
    </w:p>
    <w:p>
      <w:pPr>
        <w:numPr>
          <w:ilvl w:val="0"/>
          <w:numId w:val="1003"/>
        </w:numPr>
        <w:pStyle w:val="Compact"/>
      </w:pPr>
      <w:r>
        <w:t xml:space="preserve">☐ Figures/tables referenced in text and appropriately captioned</w:t>
      </w:r>
    </w:p>
    <w:p>
      <w:pPr>
        <w:numPr>
          <w:ilvl w:val="0"/>
          <w:numId w:val="1003"/>
        </w:numPr>
        <w:pStyle w:val="Compact"/>
      </w:pPr>
      <w:r>
        <w:t xml:space="preserve">☐ Appropriate use of sections, subsections, etc., and content respects corresponding structure</w:t>
      </w:r>
    </w:p>
    <w:bookmarkEnd w:id="22"/>
    <w:bookmarkStart w:id="23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4"/>
        </w:numPr>
        <w:pStyle w:val="Compact"/>
      </w:pPr>
      <w:r>
        <w:t xml:space="preserve">☐ Equations and in-text citations formatted and used appropriately</w:t>
      </w:r>
    </w:p>
    <w:p>
      <w:pPr>
        <w:numPr>
          <w:ilvl w:val="0"/>
          <w:numId w:val="1004"/>
        </w:numPr>
        <w:pStyle w:val="Compact"/>
      </w:pPr>
      <w:r>
        <w:t xml:space="preserve">☐ bibliography formatted correctly and consistently</w:t>
      </w:r>
    </w:p>
    <w:bookmarkEnd w:id="23"/>
    <w:bookmarkStart w:id="24" w:name="formatting"/>
    <w:p>
      <w:pPr>
        <w:pStyle w:val="Heading1"/>
      </w:pPr>
      <w:r>
        <w:t xml:space="preserve">Formatting</w:t>
      </w:r>
    </w:p>
    <w:p>
      <w:pPr>
        <w:numPr>
          <w:ilvl w:val="0"/>
          <w:numId w:val="1005"/>
        </w:numPr>
        <w:pStyle w:val="Compact"/>
      </w:pPr>
      <w:r>
        <w:t xml:space="preserve">☐ Written in LaTeX (if appropriate).</w:t>
      </w:r>
    </w:p>
    <w:p>
      <w:pPr>
        <w:numPr>
          <w:ilvl w:val="0"/>
          <w:numId w:val="1005"/>
        </w:numPr>
        <w:pStyle w:val="Compact"/>
      </w:pPr>
      <w:r>
        <w:t xml:space="preserve">☐ 5–10 pages</w:t>
      </w:r>
    </w:p>
    <w:bookmarkEnd w:id="24"/>
    <w:bookmarkStart w:id="25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6"/>
        </w:numPr>
        <w:pStyle w:val="Compact"/>
      </w:pPr>
      <w:r>
        <w:t xml:space="preserve">☐ Begins with an appropriate overview and introduces the purpose of project</w:t>
      </w:r>
    </w:p>
    <w:p>
      <w:pPr>
        <w:numPr>
          <w:ilvl w:val="0"/>
          <w:numId w:val="1006"/>
        </w:numPr>
        <w:pStyle w:val="Compact"/>
      </w:pPr>
      <w:r>
        <w:t xml:space="preserve">☐ Introduces major concepts with the data</w:t>
      </w:r>
    </w:p>
    <w:p>
      <w:pPr>
        <w:numPr>
          <w:ilvl w:val="0"/>
          <w:numId w:val="1006"/>
        </w:numPr>
        <w:pStyle w:val="Compact"/>
      </w:pPr>
      <w:r>
        <w:t xml:space="preserve">☐ Introduces major concepts of methodology</w:t>
      </w:r>
    </w:p>
    <w:bookmarkEnd w:id="25"/>
    <w:bookmarkStart w:id="26" w:name="lit-review"/>
    <w:p>
      <w:pPr>
        <w:pStyle w:val="Heading1"/>
      </w:pPr>
      <w:r>
        <w:t xml:space="preserve">Lit review</w:t>
      </w:r>
    </w:p>
    <w:p>
      <w:pPr>
        <w:numPr>
          <w:ilvl w:val="0"/>
          <w:numId w:val="1007"/>
        </w:numPr>
        <w:pStyle w:val="Compact"/>
      </w:pPr>
      <w:r>
        <w:t xml:space="preserve">☐ All relevant methods explained only in this section</w:t>
      </w:r>
    </w:p>
    <w:p>
      <w:pPr>
        <w:numPr>
          <w:ilvl w:val="0"/>
          <w:numId w:val="1007"/>
        </w:numPr>
        <w:pStyle w:val="Compact"/>
      </w:pPr>
      <w:r>
        <w:t xml:space="preserve">☐ Appropriate level of math explained</w:t>
      </w:r>
    </w:p>
    <w:p>
      <w:pPr>
        <w:numPr>
          <w:ilvl w:val="0"/>
          <w:numId w:val="1007"/>
        </w:numPr>
        <w:pStyle w:val="Compact"/>
      </w:pPr>
      <w:r>
        <w:t xml:space="preserve">☐ Describes algorithmic details</w:t>
      </w:r>
    </w:p>
    <w:p>
      <w:pPr>
        <w:numPr>
          <w:ilvl w:val="0"/>
          <w:numId w:val="1007"/>
        </w:numPr>
        <w:pStyle w:val="Compact"/>
      </w:pPr>
      <w:r>
        <w:t xml:space="preserve">☐ Avoids implementation details</w:t>
      </w:r>
    </w:p>
    <w:bookmarkEnd w:id="26"/>
    <w:bookmarkStart w:id="27" w:name="other"/>
    <w:p>
      <w:pPr>
        <w:pStyle w:val="Heading1"/>
      </w:pPr>
      <w:r>
        <w:t xml:space="preserve">Other</w:t>
      </w:r>
    </w:p>
    <w:p>
      <w:pPr>
        <w:numPr>
          <w:ilvl w:val="0"/>
          <w:numId w:val="1008"/>
        </w:numPr>
        <w:pStyle w:val="Compact"/>
      </w:pPr>
      <w:r>
        <w:t xml:space="preserve">☐ Clear use of the SMART criteria, namely specific, and measurable.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checklist</dc:title>
  <dc:creator/>
  <cp:keywords/>
  <dcterms:created xsi:type="dcterms:W3CDTF">2023-05-12T19:37:39Z</dcterms:created>
  <dcterms:modified xsi:type="dcterms:W3CDTF">2023-05-12T19:37:39Z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