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31974" w14:textId="3E8A406C" w:rsidR="006300E6" w:rsidRDefault="004915AE">
      <w:r>
        <w:tab/>
        <w:t>Forma de onda do comportamento da porta inversora</w:t>
      </w:r>
    </w:p>
    <w:p w14:paraId="58D642C7" w14:textId="33153305" w:rsidR="004915AE" w:rsidRPr="004915AE" w:rsidRDefault="004915AE">
      <w:pPr>
        <w:rPr>
          <w:u w:val="single"/>
        </w:rPr>
      </w:pPr>
      <w:r w:rsidRPr="004915AE">
        <w:drawing>
          <wp:inline distT="0" distB="0" distL="0" distR="0" wp14:anchorId="4F53181D" wp14:editId="0AB5A7CB">
            <wp:extent cx="5400040" cy="31330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5AE" w:rsidRPr="00491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B2"/>
    <w:rsid w:val="004915AE"/>
    <w:rsid w:val="006300E6"/>
    <w:rsid w:val="00A3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4F7B"/>
  <w15:chartTrackingRefBased/>
  <w15:docId w15:val="{B7FE464A-DD2B-4292-874A-06A45E76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2026-04-06T19:53:00Z</dcterms:created>
  <dcterms:modified xsi:type="dcterms:W3CDTF">2026-04-06T19:56:00Z</dcterms:modified>
</cp:coreProperties>
</file>