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vanish w:val="0"/>
        </w:rPr>
        <w:t>STATEMENT OF ISSUES ON BEHALF OF THE JUDICIAL AUTHORITY</w:t>
      </w:r>
    </w:p>
    <w:p>
      <w:r>
        <w:rPr>
          <w:vanish w:val="0"/>
        </w:rPr>
        <w:t>1. The Requested Person challenges extradition under section 21 of the Extradition Act 2003.</w:t>
      </w:r>
    </w:p>
    <w:p>
      <w:r>
        <w:rPr>
          <w:vanish w:val="0"/>
        </w:rPr>
        <w:t>2. The Judicial Authority submits that the challenge has no real prospect of success and invites the Court to order extradition.</w:t>
      </w:r>
    </w:p>
    <w:p>
      <w:r>
        <w:rPr>
          <w:vanish w:val="0"/>
        </w:rPr>
        <w:t>3. The prison conditions assurance dated 3 March 2026 answers the Article 3 point in full.</w:t>
      </w:r>
    </w:p>
    <w:p>
      <w:r>
        <w:rPr>
          <w:vanish w:val="0"/>
        </w:rPr>
        <w:t>4. Reliance is placed on Celinski v Poland [2015] EWHC 1274 (Admin).</w:t>
      </w:r>
    </w:p>
    <w:p>
      <w:r>
        <w:t xml:space="preserve">5. 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vanish/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