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 THE HIGH COURT OF JUSTICE</w:t>
      </w:r>
    </w:p>
    <w:p>
      <w:r>
        <w:t>Between A.B. (Appellant) and C.D. (Respondent)</w:t>
      </w:r>
    </w:p>
    <w:p>
      <w:pPr>
        <w:jc w:val="center"/>
      </w:pPr>
      <w:r>
        <w:rPr>
          <w:b/>
        </w:rPr>
        <w:t>APPELLANT'S SKELETON ARGUMENT</w:t>
      </w:r>
    </w:p>
    <w:p>
      <w:r>
        <w:t>1. This skeleton identifies the issues for determination and cites R (Miller) v Secretary of State [2017] UKSC 5 as an ordinary authority.</w:t>
      </w:r>
    </w:p>
    <w:p>
      <w:r>
        <w:t>2. The appeal concerns a question of procedural fairness</w:t>
      </w:r>
      <w:r>
        <w:footnoteReference w:id="2"/>
      </w:r>
    </w:p>
    <w:p>
      <w:r>
        <w:t>3. The appellant accordingly invites the Court to allow the appeal.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Counsel's working copy — page footer</w:t>
    </w:r>
  </w:p>
</w:ftr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rPr>
          <w:sz w:val="16"/>
        </w:rPr>
        <w:t>The chronology is taken from the sealed order.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Audit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