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19849B1F" w14:textId="77777777" w:rsidR="00ED2D56" w:rsidRDefault="00ED2D56" w:rsidP="00ED2D56">
      <w:pPr>
        <w:spacing w:after="0" w:line="360" w:lineRule="auto"/>
        <w:jc w:val="center"/>
      </w:pPr>
    </w:p>
    <w:p w14:paraId="18634BB7" w14:textId="77777777" w:rsidR="00ED2D56" w:rsidRDefault="00ED2D56" w:rsidP="00ED2D56">
      <w:pPr>
        <w:spacing w:after="0" w:line="360" w:lineRule="auto"/>
        <w:jc w:val="center"/>
      </w:pPr>
    </w:p>
    <w:p w14:paraId="5696EFF8" w14:textId="77777777" w:rsidR="00ED2D56" w:rsidRPr="005647E2" w:rsidRDefault="00ED2D56" w:rsidP="00ED2D56">
      <w:pPr>
        <w:spacing w:after="0" w:line="360" w:lineRule="auto"/>
        <w:jc w:val="center"/>
        <w:rPr>
          <w:rFonts w:ascii="Times New Roman" w:hAnsi="Times New Roman" w:cs="Times New Roman"/>
          <w:sz w:val="48"/>
          <w:szCs w:val="48"/>
        </w:rPr>
      </w:pPr>
    </w:p>
    <w:p w14:paraId="363A8006" w14:textId="5A378AB5" w:rsidR="003A671B" w:rsidRPr="005647E2" w:rsidRDefault="00ED2D56" w:rsidP="00ED2D56">
      <w:pPr>
        <w:spacing w:after="0" w:line="360" w:lineRule="auto"/>
        <w:jc w:val="center"/>
        <w:rPr>
          <w:rFonts w:ascii="Times New Roman" w:hAnsi="Times New Roman" w:cs="Times New Roman"/>
          <w:sz w:val="48"/>
          <w:szCs w:val="48"/>
        </w:rPr>
      </w:pPr>
      <w:r w:rsidRPr="005647E2">
        <w:rPr>
          <w:rFonts w:ascii="Times New Roman" w:hAnsi="Times New Roman" w:cs="Times New Roman"/>
          <w:sz w:val="48"/>
          <w:szCs w:val="48"/>
        </w:rPr>
        <w:t>BACHELOR’S THESIS</w:t>
      </w:r>
    </w:p>
    <w:p w14:paraId="66934411" w14:textId="1B4B5723" w:rsidR="00ED2D56" w:rsidRPr="005647E2" w:rsidRDefault="00ED2D56" w:rsidP="00ED2D56">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2E3E7296" w14:textId="77777777" w:rsidR="00ED2D56" w:rsidRPr="005647E2" w:rsidRDefault="00ED2D56" w:rsidP="00ED2D56">
      <w:pPr>
        <w:spacing w:after="0" w:line="360" w:lineRule="auto"/>
        <w:jc w:val="center"/>
        <w:rPr>
          <w:rFonts w:ascii="Times New Roman" w:hAnsi="Times New Roman" w:cs="Times New Roman"/>
        </w:rPr>
      </w:pPr>
    </w:p>
    <w:p w14:paraId="2C7EB5B7" w14:textId="77777777" w:rsidR="00ED2D56" w:rsidRPr="005647E2" w:rsidRDefault="00ED2D56" w:rsidP="00ED2D56">
      <w:pPr>
        <w:spacing w:after="0" w:line="360" w:lineRule="auto"/>
        <w:jc w:val="center"/>
        <w:rPr>
          <w:rFonts w:ascii="Times New Roman" w:hAnsi="Times New Roman" w:cs="Times New Roman"/>
        </w:rPr>
      </w:pPr>
    </w:p>
    <w:p w14:paraId="78F9896F" w14:textId="77777777" w:rsidR="00ED2D56" w:rsidRPr="005647E2" w:rsidRDefault="00ED2D56" w:rsidP="00ED2D56">
      <w:pPr>
        <w:spacing w:after="0" w:line="360" w:lineRule="auto"/>
        <w:jc w:val="center"/>
        <w:rPr>
          <w:rFonts w:ascii="Times New Roman" w:hAnsi="Times New Roman" w:cs="Times New Roman"/>
        </w:rPr>
      </w:pPr>
    </w:p>
    <w:p w14:paraId="44E63BB0" w14:textId="77777777" w:rsidR="00ED2D56" w:rsidRPr="005647E2" w:rsidRDefault="00ED2D56" w:rsidP="00ED2D56">
      <w:pPr>
        <w:spacing w:after="0" w:line="360" w:lineRule="auto"/>
        <w:jc w:val="center"/>
        <w:rPr>
          <w:rFonts w:ascii="Times New Roman" w:hAnsi="Times New Roman" w:cs="Times New Roman"/>
        </w:rPr>
      </w:pPr>
    </w:p>
    <w:p w14:paraId="62D1C4DA" w14:textId="77777777" w:rsidR="00ED2D56" w:rsidRPr="005647E2" w:rsidRDefault="00ED2D56" w:rsidP="00ED2D56">
      <w:pPr>
        <w:spacing w:after="0" w:line="360" w:lineRule="auto"/>
        <w:jc w:val="center"/>
        <w:rPr>
          <w:rFonts w:ascii="Times New Roman" w:hAnsi="Times New Roman" w:cs="Times New Roman"/>
        </w:rPr>
      </w:pPr>
    </w:p>
    <w:p w14:paraId="6D323AA3" w14:textId="77777777" w:rsidR="00ED2D56" w:rsidRPr="005647E2" w:rsidRDefault="00ED2D56" w:rsidP="00ED2D56">
      <w:pPr>
        <w:spacing w:after="0" w:line="360" w:lineRule="auto"/>
        <w:jc w:val="center"/>
        <w:rPr>
          <w:rFonts w:ascii="Times New Roman" w:hAnsi="Times New Roman" w:cs="Times New Roman"/>
        </w:rPr>
      </w:pPr>
    </w:p>
    <w:p w14:paraId="1AC0B93E" w14:textId="77777777" w:rsidR="00ED2D56" w:rsidRPr="005647E2" w:rsidRDefault="00ED2D56" w:rsidP="00ED2D56">
      <w:pPr>
        <w:spacing w:after="0" w:line="360" w:lineRule="auto"/>
        <w:jc w:val="center"/>
        <w:rPr>
          <w:rFonts w:ascii="Times New Roman" w:hAnsi="Times New Roman" w:cs="Times New Roman"/>
        </w:rPr>
      </w:pPr>
    </w:p>
    <w:p w14:paraId="07FA6949" w14:textId="77777777" w:rsidR="00ED2D56" w:rsidRPr="005647E2" w:rsidRDefault="00ED2D56" w:rsidP="00ED2D56">
      <w:pPr>
        <w:spacing w:after="0" w:line="360" w:lineRule="auto"/>
        <w:jc w:val="center"/>
        <w:rPr>
          <w:rFonts w:ascii="Times New Roman" w:hAnsi="Times New Roman" w:cs="Times New Roman"/>
        </w:rPr>
      </w:pPr>
    </w:p>
    <w:p w14:paraId="704D6299" w14:textId="77777777" w:rsidR="00ED2D56" w:rsidRPr="005647E2" w:rsidRDefault="00ED2D56" w:rsidP="00ED2D56">
      <w:pPr>
        <w:spacing w:after="0" w:line="360" w:lineRule="auto"/>
        <w:jc w:val="center"/>
        <w:rPr>
          <w:rFonts w:ascii="Times New Roman" w:hAnsi="Times New Roman" w:cs="Times New Roman"/>
        </w:rPr>
      </w:pPr>
    </w:p>
    <w:p w14:paraId="36379626" w14:textId="77777777" w:rsidR="00ED2D56" w:rsidRPr="005647E2" w:rsidRDefault="00ED2D56" w:rsidP="00ED2D56">
      <w:pPr>
        <w:spacing w:after="0" w:line="360" w:lineRule="auto"/>
        <w:jc w:val="center"/>
        <w:rPr>
          <w:rFonts w:ascii="Times New Roman" w:hAnsi="Times New Roman" w:cs="Times New Roman"/>
        </w:rPr>
      </w:pPr>
    </w:p>
    <w:p w14:paraId="37626B0E" w14:textId="77777777" w:rsidR="00ED2D56" w:rsidRDefault="00ED2D56" w:rsidP="00ED2D56">
      <w:pPr>
        <w:spacing w:after="0" w:line="360" w:lineRule="auto"/>
        <w:jc w:val="center"/>
        <w:rPr>
          <w:rFonts w:ascii="Times New Roman" w:hAnsi="Times New Roman" w:cs="Times New Roman"/>
        </w:rPr>
      </w:pPr>
    </w:p>
    <w:p w14:paraId="31A7BBCD" w14:textId="77777777" w:rsidR="005647E2" w:rsidRPr="005647E2" w:rsidRDefault="005647E2" w:rsidP="00ED2D56">
      <w:pPr>
        <w:spacing w:after="0" w:line="360" w:lineRule="auto"/>
        <w:jc w:val="center"/>
        <w:rPr>
          <w:rFonts w:ascii="Times New Roman" w:hAnsi="Times New Roman" w:cs="Times New Roman"/>
        </w:rPr>
      </w:pPr>
    </w:p>
    <w:p w14:paraId="1E2ECC8B" w14:textId="77777777" w:rsidR="00ED2D56" w:rsidRPr="005647E2" w:rsidRDefault="00ED2D56" w:rsidP="00ED2D56">
      <w:pPr>
        <w:spacing w:after="0" w:line="360" w:lineRule="auto"/>
        <w:jc w:val="center"/>
        <w:rPr>
          <w:rFonts w:ascii="Times New Roman" w:hAnsi="Times New Roman" w:cs="Times New Roman"/>
        </w:rPr>
      </w:pPr>
    </w:p>
    <w:p w14:paraId="67B54BBC" w14:textId="2AD0A2A8"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2CEFD1F7" w:rsidR="00D8004F" w:rsidRDefault="00D8004F" w:rsidP="00D8004F">
      <w:pPr>
        <w:spacing w:after="0" w:line="360" w:lineRule="auto"/>
        <w:rPr>
          <w:rFonts w:ascii="Times New Roman" w:hAnsi="Times New Roman" w:cs="Times New Roman"/>
          <w:b/>
          <w:bCs/>
        </w:rPr>
      </w:pPr>
      <w:r w:rsidRPr="005647E2">
        <w:rPr>
          <w:rFonts w:ascii="Times New Roman" w:hAnsi="Times New Roman" w:cs="Times New Roman"/>
          <w:b/>
          <w:bCs/>
        </w:rPr>
        <w:t xml:space="preserve">Chapter 3 </w:t>
      </w:r>
      <w:r w:rsidR="002E235F">
        <w:rPr>
          <w:rFonts w:ascii="Times New Roman" w:hAnsi="Times New Roman" w:cs="Times New Roman"/>
          <w:b/>
          <w:bCs/>
        </w:rPr>
        <w:t>–</w:t>
      </w:r>
      <w:r w:rsidRPr="005647E2">
        <w:rPr>
          <w:rFonts w:ascii="Times New Roman" w:hAnsi="Times New Roman" w:cs="Times New Roman"/>
          <w:b/>
          <w:bCs/>
        </w:rPr>
        <w:t xml:space="preserve"> Methodology</w:t>
      </w:r>
    </w:p>
    <w:p w14:paraId="65875C18" w14:textId="246C21DA" w:rsidR="002E235F" w:rsidRPr="002E235F" w:rsidRDefault="002E235F" w:rsidP="00D8004F">
      <w:pPr>
        <w:spacing w:after="0" w:line="360" w:lineRule="auto"/>
        <w:rPr>
          <w:rFonts w:ascii="Times New Roman" w:hAnsi="Times New Roman" w:cs="Times New Roman"/>
        </w:rPr>
      </w:pPr>
      <w:r>
        <w:rPr>
          <w:rFonts w:ascii="Times New Roman" w:hAnsi="Times New Roman" w:cs="Times New Roman"/>
        </w:rPr>
        <w:t xml:space="preserve">      </w:t>
      </w:r>
      <w:r w:rsidRPr="002E235F">
        <w:rPr>
          <w:rFonts w:ascii="Times New Roman" w:hAnsi="Times New Roman" w:cs="Times New Roman"/>
        </w:rPr>
        <w:t xml:space="preserve">3.1. </w:t>
      </w:r>
      <w:r>
        <w:rPr>
          <w:rFonts w:ascii="Times New Roman" w:hAnsi="Times New Roman" w:cs="Times New Roman"/>
        </w:rPr>
        <w:t xml:space="preserve">   </w:t>
      </w:r>
      <w:r w:rsidRPr="002E235F">
        <w:rPr>
          <w:rFonts w:ascii="Times New Roman" w:hAnsi="Times New Roman" w:cs="Times New Roman"/>
        </w:rPr>
        <w:t>Overview</w:t>
      </w:r>
    </w:p>
    <w:p w14:paraId="3671BF6F" w14:textId="7E56FFA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2</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3C4DC4B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3</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69616F5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4</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672C85B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5</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4C34EEA2" w14:textId="77777777" w:rsidR="00ED2D56" w:rsidRDefault="00ED2D56" w:rsidP="00ED2D56">
      <w:pPr>
        <w:spacing w:after="0" w:line="360" w:lineRule="auto"/>
        <w:jc w:val="center"/>
      </w:pPr>
    </w:p>
    <w:p w14:paraId="78075AAF" w14:textId="77777777" w:rsidR="00ED2D56" w:rsidRDefault="00ED2D56" w:rsidP="00ED2D56">
      <w:pPr>
        <w:spacing w:after="0" w:line="360" w:lineRule="auto"/>
        <w:jc w:val="center"/>
      </w:pPr>
    </w:p>
    <w:p w14:paraId="12F1BC81" w14:textId="77777777" w:rsidR="00257E51" w:rsidRDefault="00257E51" w:rsidP="00396FFF">
      <w:pPr>
        <w:spacing w:after="0" w:line="360" w:lineRule="auto"/>
      </w:pPr>
    </w:p>
    <w:p w14:paraId="2DCC8991" w14:textId="44A397B4"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w:t>
      </w:r>
      <w:r w:rsidRPr="005647E2">
        <w:rPr>
          <w:rFonts w:ascii="Times New Roman" w:hAnsi="Times New Roman" w:cs="Times New Roman"/>
        </w:rPr>
        <w:lastRenderedPageBreak/>
        <w:t>happiness all need models that are not only accurate but interpretable and causally grounded. A model that predicts depression with high accuracy but cannot explain which factors drive the 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lastRenderedPageBreak/>
        <w:t>RQ1. How do different modeling approaches perform when predicting wellbeing at individual versus societal levels?</w:t>
      </w:r>
      <w:r>
        <w:t xml:space="preserve"> This question examines whether predictive performance </w:t>
      </w:r>
      <w:r w:rsidR="0028027A">
        <w:t>-</w:t>
      </w:r>
      <w:r>
        <w:t xml:space="preserve"> 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w:t>
      </w:r>
      <w:r>
        <w:lastRenderedPageBreak/>
        <w:t>stacking ensembles, are evaluated against the baselines. Bayesian Networks are learned using Hill-Climb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5C2C9ACD" w14:textId="77777777" w:rsidR="00F82A0E" w:rsidRDefault="00F82A0E" w:rsidP="00ED2D56">
      <w:pPr>
        <w:spacing w:after="0" w:line="360" w:lineRule="auto"/>
        <w:jc w:val="center"/>
      </w:pPr>
    </w:p>
    <w:p w14:paraId="24BCFDD2" w14:textId="77777777" w:rsidR="00F82A0E" w:rsidRDefault="00F82A0E" w:rsidP="00ED2D56">
      <w:pPr>
        <w:spacing w:after="0" w:line="360" w:lineRule="auto"/>
        <w:jc w:val="center"/>
      </w:pPr>
    </w:p>
    <w:p w14:paraId="2FF938DE" w14:textId="77777777" w:rsidR="00F82A0E" w:rsidRDefault="00F82A0E" w:rsidP="00ED2D56">
      <w:pPr>
        <w:spacing w:after="0" w:line="360" w:lineRule="auto"/>
        <w:jc w:val="center"/>
      </w:pPr>
    </w:p>
    <w:p w14:paraId="452E2D03" w14:textId="77777777" w:rsidR="00F82A0E" w:rsidRDefault="00F82A0E" w:rsidP="00ED2D56">
      <w:pPr>
        <w:spacing w:after="0" w:line="360" w:lineRule="auto"/>
        <w:jc w:val="center"/>
      </w:pPr>
    </w:p>
    <w:p w14:paraId="6632E14C" w14:textId="77777777" w:rsidR="00F82A0E" w:rsidRDefault="00F82A0E" w:rsidP="00ED2D56">
      <w:pPr>
        <w:spacing w:after="0" w:line="360" w:lineRule="auto"/>
        <w:jc w:val="center"/>
      </w:pPr>
    </w:p>
    <w:p w14:paraId="55BAFC1F" w14:textId="6212D362"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630187C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Shmueli [Shmueli2010] developed this distinction more formally by introducing a framework for distinguishing explanatory modelling </w:t>
      </w:r>
      <w:r w:rsidR="003133E0">
        <w:rPr>
          <w:rFonts w:ascii="Times New Roman" w:hAnsi="Times New Roman" w:cs="Times New Roman"/>
        </w:rPr>
        <w:t>-</w:t>
      </w:r>
      <w:r w:rsidRPr="00C60781">
        <w:rPr>
          <w:rFonts w:ascii="Times New Roman" w:hAnsi="Times New Roman" w:cs="Times New Roman"/>
        </w:rPr>
        <w:t xml:space="preserve"> aimed at testing causal hypotheses about the data-generating process </w:t>
      </w:r>
      <w:r w:rsidR="003133E0">
        <w:rPr>
          <w:rFonts w:ascii="Times New Roman" w:hAnsi="Times New Roman" w:cs="Times New Roman"/>
        </w:rPr>
        <w:t>-</w:t>
      </w:r>
      <w:r w:rsidRPr="00C60781">
        <w:rPr>
          <w:rFonts w:ascii="Times New Roman" w:hAnsi="Times New Roman" w:cs="Times New Roman"/>
        </w:rPr>
        <w:t xml:space="preserve"> from predictive modelling </w:t>
      </w:r>
      <w:r w:rsidR="003133E0">
        <w:rPr>
          <w:rFonts w:ascii="Times New Roman" w:hAnsi="Times New Roman" w:cs="Times New Roman"/>
        </w:rPr>
        <w:t>-</w:t>
      </w:r>
      <w:r w:rsidRPr="00C60781">
        <w:rPr>
          <w:rFonts w:ascii="Times New Roman" w:hAnsi="Times New Roman" w:cs="Times New Roman"/>
        </w:rPr>
        <w:t xml:space="preserve">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2A1462A6" w14:textId="4F796F8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lastRenderedPageBreak/>
        <w:t xml:space="preserve">Yarkoni and Westfall [Yarkoni2017] extended this argument specifically to psychological science, demonstrating that psychology's near-total focus on explaining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through controlled experiments had produced </w:t>
      </w:r>
      <w:proofErr w:type="gramStart"/>
      <w:r w:rsidRPr="00C60781">
        <w:rPr>
          <w:rFonts w:ascii="Times New Roman" w:hAnsi="Times New Roman" w:cs="Times New Roman"/>
        </w:rPr>
        <w:t>a literature</w:t>
      </w:r>
      <w:proofErr w:type="gramEnd"/>
      <w:r w:rsidRPr="00C60781">
        <w:rPr>
          <w:rFonts w:ascii="Times New Roman" w:hAnsi="Times New Roman" w:cs="Times New Roman"/>
        </w:rPr>
        <w:t xml:space="preserve"> of intricate causal theories with little predictive validity. They proposed that adopting machine learning principles </w:t>
      </w:r>
      <w:r w:rsidR="003133E0">
        <w:rPr>
          <w:rFonts w:ascii="Times New Roman" w:hAnsi="Times New Roman" w:cs="Times New Roman"/>
        </w:rPr>
        <w:t>-</w:t>
      </w:r>
      <w:r w:rsidRPr="00C60781">
        <w:rPr>
          <w:rFonts w:ascii="Times New Roman" w:hAnsi="Times New Roman" w:cs="Times New Roman"/>
        </w:rPr>
        <w:t xml:space="preserve"> in particular </w:t>
      </w:r>
      <w:proofErr w:type="spellStart"/>
      <w:r w:rsidRPr="00C60781">
        <w:rPr>
          <w:rFonts w:ascii="Times New Roman" w:hAnsi="Times New Roman" w:cs="Times New Roman"/>
        </w:rPr>
        <w:t>regularisation</w:t>
      </w:r>
      <w:proofErr w:type="spellEnd"/>
      <w:r w:rsidRPr="00C60781">
        <w:rPr>
          <w:rFonts w:ascii="Times New Roman" w:hAnsi="Times New Roman" w:cs="Times New Roman"/>
        </w:rPr>
        <w:t xml:space="preserve">, cross-validation, and out-of-sample evaluation </w:t>
      </w:r>
      <w:r w:rsidR="003133E0">
        <w:rPr>
          <w:rFonts w:ascii="Times New Roman" w:hAnsi="Times New Roman" w:cs="Times New Roman"/>
        </w:rPr>
        <w:t>-</w:t>
      </w:r>
      <w:r w:rsidRPr="00C60781">
        <w:rPr>
          <w:rFonts w:ascii="Times New Roman" w:hAnsi="Times New Roman" w:cs="Times New Roman"/>
        </w:rPr>
        <w:t xml:space="preserve"> would produce more accurate and </w:t>
      </w:r>
      <w:proofErr w:type="spellStart"/>
      <w:r w:rsidRPr="00C60781">
        <w:rPr>
          <w:rFonts w:ascii="Times New Roman" w:hAnsi="Times New Roman" w:cs="Times New Roman"/>
        </w:rPr>
        <w:t>generalisable</w:t>
      </w:r>
      <w:proofErr w:type="spellEnd"/>
      <w:r w:rsidRPr="00C60781">
        <w:rPr>
          <w:rFonts w:ascii="Times New Roman" w:hAnsi="Times New Roman" w:cs="Times New Roman"/>
        </w:rPr>
        <w:t xml:space="preserve"> psychological models. Their argument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prediction context: the variables that best explain depression or life satisfaction in a theoretical framework may not be the same as those that best predict it in a held-out sample.</w:t>
      </w:r>
    </w:p>
    <w:p w14:paraId="6B193B6A" w14:textId="598FDE74"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practical implication of this debate for the present thesis is that no single modelling approach is optimal across both goals simultaneously. Logistic and linear regression models offer coefficient-based explanations grounded in theory but may miss nonlinear relationships. Ensemble methods such as Random Forest and </w:t>
      </w:r>
      <w:proofErr w:type="spellStart"/>
      <w:r w:rsidRPr="00C60781">
        <w:rPr>
          <w:rFonts w:ascii="Times New Roman" w:hAnsi="Times New Roman" w:cs="Times New Roman"/>
        </w:rPr>
        <w:t>XGBoost</w:t>
      </w:r>
      <w:proofErr w:type="spellEnd"/>
      <w:r w:rsidRPr="00C60781">
        <w:rPr>
          <w:rFonts w:ascii="Times New Roman" w:hAnsi="Times New Roman" w:cs="Times New Roman"/>
        </w:rPr>
        <w:t xml:space="preserve"> offer strong predictive performance but require post-hoc interpretability tools. Bayesian Networks offer explicit causal structure but may sacrifice predictive accuracy in exchange for interpretability. Understanding this trade-off empirically </w:t>
      </w:r>
      <w:r w:rsidR="003133E0">
        <w:rPr>
          <w:rFonts w:ascii="Times New Roman" w:hAnsi="Times New Roman" w:cs="Times New Roman"/>
        </w:rPr>
        <w:t>-</w:t>
      </w:r>
      <w:r w:rsidRPr="00C60781">
        <w:rPr>
          <w:rFonts w:ascii="Times New Roman" w:hAnsi="Times New Roman" w:cs="Times New Roman"/>
        </w:rPr>
        <w:t xml:space="preserve"> across multiple datasets and outcome types </w:t>
      </w:r>
      <w:r w:rsidR="003133E0">
        <w:rPr>
          <w:rFonts w:ascii="Times New Roman" w:hAnsi="Times New Roman" w:cs="Times New Roman"/>
        </w:rPr>
        <w:t>-</w:t>
      </w:r>
      <w:r w:rsidRPr="00C60781">
        <w:rPr>
          <w:rFonts w:ascii="Times New Roman" w:hAnsi="Times New Roman" w:cs="Times New Roman"/>
        </w:rPr>
        <w:t xml:space="preserve"> is the central contribution of the present work.</w:t>
      </w:r>
    </w:p>
    <w:p w14:paraId="0845D07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growing adoption of complex machine learning models in applied settings has generated </w:t>
      </w:r>
      <w:proofErr w:type="gramStart"/>
      <w:r w:rsidRPr="00C60781">
        <w:rPr>
          <w:rFonts w:ascii="Times New Roman" w:hAnsi="Times New Roman" w:cs="Times New Roman"/>
        </w:rPr>
        <w:t>a parallel</w:t>
      </w:r>
      <w:proofErr w:type="gramEnd"/>
      <w:r w:rsidRPr="00C60781">
        <w:rPr>
          <w:rFonts w:ascii="Times New Roman" w:hAnsi="Times New Roman" w:cs="Times New Roman"/>
        </w:rPr>
        <w:t xml:space="preserve"> literature on post-hoc interpretability methods. Hastie,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xml:space="preserve">, and Friedman [Hastie2009] provide the statistical foundation for tree-based and ensemble methods, including the conditions under </w:t>
      </w:r>
      <w:proofErr w:type="gramStart"/>
      <w:r w:rsidRPr="00C60781">
        <w:rPr>
          <w:rFonts w:ascii="Times New Roman" w:hAnsi="Times New Roman" w:cs="Times New Roman"/>
        </w:rPr>
        <w:t>which feature</w:t>
      </w:r>
      <w:proofErr w:type="gramEnd"/>
      <w:r w:rsidRPr="00C60781">
        <w:rPr>
          <w:rFonts w:ascii="Times New Roman" w:hAnsi="Times New Roman" w:cs="Times New Roman"/>
        </w:rPr>
        <w:t xml:space="preserve"> importance measures are reliable. Friedman [Friedman2001] introduced gradient boosting machines and partial dependence plots as tools for understanding the marginal effect of predictors in nonlinear models.</w:t>
      </w:r>
    </w:p>
    <w:p w14:paraId="795AE5D4" w14:textId="2D1D4045"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Goldstein and colleagues [Goldstein2015] introduced individual conditional expectation plots as a refinement of partial dependence plots, enabling </w:t>
      </w:r>
      <w:proofErr w:type="spellStart"/>
      <w:r w:rsidRPr="00C60781">
        <w:rPr>
          <w:rFonts w:ascii="Times New Roman" w:hAnsi="Times New Roman" w:cs="Times New Roman"/>
        </w:rPr>
        <w:t>visualisation</w:t>
      </w:r>
      <w:proofErr w:type="spellEnd"/>
      <w:r w:rsidRPr="00C60781">
        <w:rPr>
          <w:rFonts w:ascii="Times New Roman" w:hAnsi="Times New Roman" w:cs="Times New Roman"/>
        </w:rPr>
        <w:t xml:space="preserve"> of heterogeneous predictor effects across individuals rather than only average marginal effects. Lundberg and Lee [Lundberg2017] unified feature importance methods under the SHAP framework, providing a theoretically grounded decomposition of model predictions into additive feature contributions based on Shapley values from cooperative game theory. SHAP values satisfy desirable axiomatic properties </w:t>
      </w:r>
      <w:r w:rsidR="003133E0">
        <w:rPr>
          <w:rFonts w:ascii="Times New Roman" w:hAnsi="Times New Roman" w:cs="Times New Roman"/>
        </w:rPr>
        <w:t>-</w:t>
      </w:r>
      <w:r w:rsidRPr="00C60781">
        <w:rPr>
          <w:rFonts w:ascii="Times New Roman" w:hAnsi="Times New Roman" w:cs="Times New Roman"/>
        </w:rPr>
        <w:t xml:space="preserve"> local accuracy, consistency, and missingness </w:t>
      </w:r>
      <w:r w:rsidR="003133E0">
        <w:rPr>
          <w:rFonts w:ascii="Times New Roman" w:hAnsi="Times New Roman" w:cs="Times New Roman"/>
        </w:rPr>
        <w:t>-</w:t>
      </w:r>
      <w:r w:rsidRPr="00C60781">
        <w:rPr>
          <w:rFonts w:ascii="Times New Roman" w:hAnsi="Times New Roman" w:cs="Times New Roman"/>
        </w:rPr>
        <w:t xml:space="preserve"> that earlier importance measures do not, making them the standard tool for explaining individual predictions from tree-based models. Molnar [Molnar2019] provides a comprehensive overview of the interpretable machine learning landscape, situating </w:t>
      </w:r>
      <w:r w:rsidRPr="00C60781">
        <w:rPr>
          <w:rFonts w:ascii="Times New Roman" w:hAnsi="Times New Roman" w:cs="Times New Roman"/>
        </w:rPr>
        <w:lastRenderedPageBreak/>
        <w:t>SHAP alongside partial dependence plots, permutation importance, and local surrogate models within a unified taxonomy of explanation methods.</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5DFCFA99"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Pearl [Pearl2009] established the theoretical foundations for causal inference in graphical models, introducing the do-calculus as a formal framework for reasoning about interventions </w:t>
      </w:r>
      <w:r w:rsidR="003133E0">
        <w:rPr>
          <w:rFonts w:ascii="Times New Roman" w:hAnsi="Times New Roman" w:cs="Times New Roman"/>
        </w:rPr>
        <w:t>-</w:t>
      </w:r>
      <w:r w:rsidRPr="00C60781">
        <w:rPr>
          <w:rFonts w:ascii="Times New Roman" w:hAnsi="Times New Roman" w:cs="Times New Roman"/>
        </w:rPr>
        <w:t xml:space="preserve"> the effect of setting a variable to a fixed value </w:t>
      </w:r>
      <w:r w:rsidR="003133E0">
        <w:rPr>
          <w:rFonts w:ascii="Times New Roman" w:hAnsi="Times New Roman" w:cs="Times New Roman"/>
        </w:rPr>
        <w:t>-</w:t>
      </w:r>
      <w:r w:rsidRPr="00C60781">
        <w:rPr>
          <w:rFonts w:ascii="Times New Roman" w:hAnsi="Times New Roman" w:cs="Times New Roman"/>
        </w:rPr>
        <w:t xml:space="preserve">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independence, enabling the derivation of testable implications from a causal model without intervention data.</w:t>
      </w:r>
    </w:p>
    <w:p w14:paraId="6212E318" w14:textId="7A9AB12B"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Morgan and Winship [Morgan2015] situate Bayesian Networks and graphical causal models within the broader counterfactual tradition of causal inference, connecting Pearl's do-calculus to the potential </w:t>
      </w:r>
      <w:proofErr w:type="gramStart"/>
      <w:r w:rsidRPr="00C60781">
        <w:rPr>
          <w:rFonts w:ascii="Times New Roman" w:hAnsi="Times New Roman" w:cs="Times New Roman"/>
        </w:rPr>
        <w:t>outcomes</w:t>
      </w:r>
      <w:proofErr w:type="gramEnd"/>
      <w:r w:rsidRPr="00C60781">
        <w:rPr>
          <w:rFonts w:ascii="Times New Roman" w:hAnsi="Times New Roman" w:cs="Times New Roman"/>
        </w:rPr>
        <w:t xml:space="preserve"> framework of Rubin and Neyman. They discuss the conditions under which observational data can support causal claims, </w:t>
      </w:r>
      <w:proofErr w:type="spellStart"/>
      <w:r w:rsidRPr="00C60781">
        <w:rPr>
          <w:rFonts w:ascii="Times New Roman" w:hAnsi="Times New Roman" w:cs="Times New Roman"/>
        </w:rPr>
        <w:t>emphasising</w:t>
      </w:r>
      <w:proofErr w:type="spellEnd"/>
      <w:r w:rsidRPr="00C60781">
        <w:rPr>
          <w:rFonts w:ascii="Times New Roman" w:hAnsi="Times New Roman" w:cs="Times New Roman"/>
        </w:rPr>
        <w:t xml:space="preserve"> the role of structural assumptions </w:t>
      </w:r>
      <w:r w:rsidR="003133E0">
        <w:rPr>
          <w:rFonts w:ascii="Times New Roman" w:hAnsi="Times New Roman" w:cs="Times New Roman"/>
        </w:rPr>
        <w:t>-</w:t>
      </w:r>
      <w:r w:rsidRPr="00C60781">
        <w:rPr>
          <w:rFonts w:ascii="Times New Roman" w:hAnsi="Times New Roman" w:cs="Times New Roman"/>
        </w:rPr>
        <w:t xml:space="preserve"> encoded as forbidden or required edges in a Bayesian Network </w:t>
      </w:r>
      <w:r w:rsidR="003133E0">
        <w:rPr>
          <w:rFonts w:ascii="Times New Roman" w:hAnsi="Times New Roman" w:cs="Times New Roman"/>
        </w:rPr>
        <w:t>-</w:t>
      </w:r>
      <w:r w:rsidRPr="00C60781">
        <w:rPr>
          <w:rFonts w:ascii="Times New Roman" w:hAnsi="Times New Roman" w:cs="Times New Roman"/>
        </w:rPr>
        <w:t xml:space="preserve"> in making identification possible.</w:t>
      </w:r>
    </w:p>
    <w:p w14:paraId="099F061C" w14:textId="3F124453"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Structure learning algorithms </w:t>
      </w:r>
      <w:proofErr w:type="gramStart"/>
      <w:r w:rsidRPr="00C60781">
        <w:rPr>
          <w:rFonts w:ascii="Times New Roman" w:hAnsi="Times New Roman" w:cs="Times New Roman"/>
        </w:rPr>
        <w:t>attempt</w:t>
      </w:r>
      <w:proofErr w:type="gramEnd"/>
      <w:r w:rsidRPr="00C60781">
        <w:rPr>
          <w:rFonts w:ascii="Times New Roman" w:hAnsi="Times New Roman" w:cs="Times New Roman"/>
        </w:rPr>
        <w:t xml:space="preserve"> to recover the graph structure of a Bayesian Network from observational data. Score-based methods such as Hill-Climb Search evaluate candidate graphs using a scoring function </w:t>
      </w:r>
      <w:r w:rsidR="003133E0">
        <w:rPr>
          <w:rFonts w:ascii="Times New Roman" w:hAnsi="Times New Roman" w:cs="Times New Roman"/>
        </w:rPr>
        <w:t>-</w:t>
      </w:r>
      <w:r w:rsidRPr="00C60781">
        <w:rPr>
          <w:rFonts w:ascii="Times New Roman" w:hAnsi="Times New Roman" w:cs="Times New Roman"/>
        </w:rPr>
        <w:t xml:space="preserve"> typically the Bayesian Information Criterion </w:t>
      </w:r>
      <w:r w:rsidR="003133E0">
        <w:rPr>
          <w:rFonts w:ascii="Times New Roman" w:hAnsi="Times New Roman" w:cs="Times New Roman"/>
        </w:rPr>
        <w:t>-</w:t>
      </w:r>
      <w:r w:rsidRPr="00C60781">
        <w:rPr>
          <w:rFonts w:ascii="Times New Roman" w:hAnsi="Times New Roman" w:cs="Times New Roman"/>
        </w:rPr>
        <w:t xml:space="preserve"> and search for the graph that </w:t>
      </w:r>
      <w:proofErr w:type="spellStart"/>
      <w:r w:rsidRPr="00C60781">
        <w:rPr>
          <w:rFonts w:ascii="Times New Roman" w:hAnsi="Times New Roman" w:cs="Times New Roman"/>
        </w:rPr>
        <w:t>maximises</w:t>
      </w:r>
      <w:proofErr w:type="spellEnd"/>
      <w:r w:rsidRPr="00C60781">
        <w:rPr>
          <w:rFonts w:ascii="Times New Roman" w:hAnsi="Times New Roman" w:cs="Times New Roman"/>
        </w:rPr>
        <w:t xml:space="preserve"> the score [Scutari2014]. The BIC </w:t>
      </w:r>
      <w:proofErr w:type="spellStart"/>
      <w:r w:rsidRPr="00C60781">
        <w:rPr>
          <w:rFonts w:ascii="Times New Roman" w:hAnsi="Times New Roman" w:cs="Times New Roman"/>
        </w:rPr>
        <w:t>penalises</w:t>
      </w:r>
      <w:proofErr w:type="spellEnd"/>
      <w:r w:rsidRPr="00C60781">
        <w:rPr>
          <w:rFonts w:ascii="Times New Roman" w:hAnsi="Times New Roman" w:cs="Times New Roman"/>
        </w:rPr>
        <w:t xml:space="preserve"> model complexity relative to sample </w:t>
      </w:r>
      <w:r w:rsidRPr="00C60781">
        <w:rPr>
          <w:rFonts w:ascii="Times New Roman" w:hAnsi="Times New Roman" w:cs="Times New Roman"/>
        </w:rPr>
        <w:lastRenderedPageBreak/>
        <w:t xml:space="preserve">size, </w:t>
      </w:r>
      <w:proofErr w:type="spellStart"/>
      <w:r w:rsidRPr="00C60781">
        <w:rPr>
          <w:rFonts w:ascii="Times New Roman" w:hAnsi="Times New Roman" w:cs="Times New Roman"/>
        </w:rPr>
        <w:t>favouring</w:t>
      </w:r>
      <w:proofErr w:type="spellEnd"/>
      <w:r w:rsidRPr="00C60781">
        <w:rPr>
          <w:rFonts w:ascii="Times New Roman" w:hAnsi="Times New Roman" w:cs="Times New Roman"/>
        </w:rPr>
        <w:t xml:space="preserve"> sparser graphs when data is limited. Constraint-based methods such as the PC algorithm use conditional independence tests to identify edges, while hybrid methods combine both approaches.</w:t>
      </w:r>
    </w:p>
    <w:p w14:paraId="34BA1359" w14:textId="59735E0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w:t>
      </w:r>
      <w:r w:rsidR="003133E0">
        <w:rPr>
          <w:rFonts w:ascii="Times New Roman" w:hAnsi="Times New Roman" w:cs="Times New Roman"/>
        </w:rPr>
        <w:t>-</w:t>
      </w:r>
      <w:r w:rsidRPr="00C60781">
        <w:rPr>
          <w:rFonts w:ascii="Times New Roman" w:hAnsi="Times New Roman" w:cs="Times New Roman"/>
        </w:rPr>
        <w:t xml:space="preserve"> directed acyclic graphs that encode the same conditional independence relationships but differ in edge direction. Without additional constraints derived from domain knowledge </w:t>
      </w:r>
      <w:r w:rsidR="003133E0">
        <w:rPr>
          <w:rFonts w:ascii="Times New Roman" w:hAnsi="Times New Roman" w:cs="Times New Roman"/>
        </w:rPr>
        <w:t>-</w:t>
      </w:r>
      <w:r w:rsidRPr="00C60781">
        <w:rPr>
          <w:rFonts w:ascii="Times New Roman" w:hAnsi="Times New Roman" w:cs="Times New Roman"/>
        </w:rPr>
        <w:t xml:space="preserve"> such as the temporal ordering of variables or theoretical assumptions about causal direction </w:t>
      </w:r>
      <w:r w:rsidR="003133E0">
        <w:rPr>
          <w:rFonts w:ascii="Times New Roman" w:hAnsi="Times New Roman" w:cs="Times New Roman"/>
        </w:rPr>
        <w:t>-</w:t>
      </w:r>
      <w:r w:rsidRPr="00C60781">
        <w:rPr>
          <w:rFonts w:ascii="Times New Roman" w:hAnsi="Times New Roman" w:cs="Times New Roman"/>
        </w:rPr>
        <w:t xml:space="preserve">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29586BE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w:t>
      </w:r>
      <w:r w:rsidR="003133E0">
        <w:rPr>
          <w:rFonts w:ascii="Times New Roman" w:hAnsi="Times New Roman" w:cs="Times New Roman"/>
        </w:rPr>
        <w:t>-</w:t>
      </w:r>
      <w:r w:rsidRPr="00C60781">
        <w:rPr>
          <w:rFonts w:ascii="Times New Roman" w:hAnsi="Times New Roman" w:cs="Times New Roman"/>
        </w:rPr>
        <w:t xml:space="preserve">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sensitivity to changes in life circumstances, making it appropriate for modelling as a continuous </w:t>
      </w:r>
      <w:r w:rsidRPr="00C60781">
        <w:rPr>
          <w:rFonts w:ascii="Times New Roman" w:hAnsi="Times New Roman" w:cs="Times New Roman"/>
        </w:rPr>
        <w:lastRenderedPageBreak/>
        <w:t>outcome variable. In the Canadian Survey dataset used in this thesis, life satisfaction is measured as a single-item numeric rating on a 0–10 scale, which is consistent with established single-item life satisfaction measures used in large-scale population surveys.</w:t>
      </w:r>
    </w:p>
    <w:p w14:paraId="341C66A1" w14:textId="1A84D08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w:t>
      </w:r>
      <w:r w:rsidR="003133E0">
        <w:rPr>
          <w:rFonts w:ascii="Times New Roman" w:hAnsi="Times New Roman" w:cs="Times New Roman"/>
        </w:rPr>
        <w:t>-</w:t>
      </w:r>
      <w:r w:rsidRPr="00C60781">
        <w:rPr>
          <w:rFonts w:ascii="Times New Roman" w:hAnsi="Times New Roman" w:cs="Times New Roman"/>
        </w:rPr>
        <w:t xml:space="preserve"> referred to as the Life Ladder </w:t>
      </w:r>
      <w:r w:rsidR="003133E0">
        <w:rPr>
          <w:rFonts w:ascii="Times New Roman" w:hAnsi="Times New Roman" w:cs="Times New Roman"/>
        </w:rPr>
        <w:t>-</w:t>
      </w:r>
      <w:r w:rsidRPr="00C60781">
        <w:rPr>
          <w:rFonts w:ascii="Times New Roman" w:hAnsi="Times New Roman" w:cs="Times New Roman"/>
        </w:rPr>
        <w:t xml:space="preserve">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65F857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w:t>
      </w:r>
      <w:r w:rsidR="003133E0">
        <w:rPr>
          <w:rFonts w:ascii="Times New Roman" w:hAnsi="Times New Roman" w:cs="Times New Roman"/>
        </w:rPr>
        <w:t>-</w:t>
      </w:r>
      <w:r w:rsidRPr="00C60781">
        <w:rPr>
          <w:rFonts w:ascii="Times New Roman" w:hAnsi="Times New Roman" w:cs="Times New Roman"/>
        </w:rPr>
        <w:t xml:space="preserve"> income, employment, housing </w:t>
      </w:r>
      <w:r w:rsidR="003133E0">
        <w:rPr>
          <w:rFonts w:ascii="Times New Roman" w:hAnsi="Times New Roman" w:cs="Times New Roman"/>
        </w:rPr>
        <w:t>-</w:t>
      </w:r>
      <w:r w:rsidRPr="00C60781">
        <w:rPr>
          <w:rFonts w:ascii="Times New Roman" w:hAnsi="Times New Roman" w:cs="Times New Roman"/>
        </w:rPr>
        <w:t xml:space="preserve"> and subjective indicators </w:t>
      </w:r>
      <w:r w:rsidR="003133E0">
        <w:rPr>
          <w:rFonts w:ascii="Times New Roman" w:hAnsi="Times New Roman" w:cs="Times New Roman"/>
        </w:rPr>
        <w:t>-</w:t>
      </w:r>
      <w:r w:rsidRPr="00C60781">
        <w:rPr>
          <w:rFonts w:ascii="Times New Roman" w:hAnsi="Times New Roman" w:cs="Times New Roman"/>
        </w:rPr>
        <w:t xml:space="preserve"> life satisfaction, affect balance, meaning </w:t>
      </w:r>
      <w:r w:rsidR="003133E0">
        <w:rPr>
          <w:rFonts w:ascii="Times New Roman" w:hAnsi="Times New Roman" w:cs="Times New Roman"/>
        </w:rPr>
        <w:t>-</w:t>
      </w:r>
      <w:r w:rsidRPr="00C60781">
        <w:rPr>
          <w:rFonts w:ascii="Times New Roman" w:hAnsi="Times New Roman" w:cs="Times New Roman"/>
        </w:rPr>
        <w:t xml:space="preserve">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6D757042" w14:textId="15F34B9A"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Mental health as a specific dimension of individual wellbeing has received increasing attention as both a public health priority and a modelling target. Depression is among the most prevalent mental health conditions globally, affecting an estimated 280 million people according to the World Health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and is associated with substantial reductions in quality of life, work productivity, and social functioning. The student depression and mental health in tech datasets used in this thesis capture two distinct at-risk populations </w:t>
      </w:r>
      <w:r w:rsidR="003133E0">
        <w:rPr>
          <w:rFonts w:ascii="Times New Roman" w:hAnsi="Times New Roman" w:cs="Times New Roman"/>
        </w:rPr>
        <w:t>-</w:t>
      </w:r>
      <w:r w:rsidRPr="00C60781">
        <w:rPr>
          <w:rFonts w:ascii="Times New Roman" w:hAnsi="Times New Roman" w:cs="Times New Roman"/>
        </w:rPr>
        <w:t xml:space="preserve"> students facing academic and financial pressure, and technology workers facing workplace-specific mental health stigma and support access barriers </w:t>
      </w:r>
      <w:r w:rsidR="003133E0">
        <w:rPr>
          <w:rFonts w:ascii="Times New Roman" w:hAnsi="Times New Roman" w:cs="Times New Roman"/>
        </w:rPr>
        <w:t>-</w:t>
      </w:r>
      <w:r w:rsidRPr="00C60781">
        <w:rPr>
          <w:rFonts w:ascii="Times New Roman" w:hAnsi="Times New Roman" w:cs="Times New Roman"/>
        </w:rPr>
        <w:t xml:space="preserve"> providing complementary individual-level perspectives on mental health outcomes.</w:t>
      </w:r>
    </w:p>
    <w:p w14:paraId="0449D69E" w14:textId="77777777" w:rsidR="00C60781" w:rsidRDefault="00C60781" w:rsidP="00C60781">
      <w:pPr>
        <w:spacing w:after="0" w:line="360" w:lineRule="auto"/>
        <w:jc w:val="both"/>
        <w:rPr>
          <w:rFonts w:ascii="Times New Roman" w:hAnsi="Times New Roman" w:cs="Times New Roman"/>
        </w:rPr>
      </w:pPr>
    </w:p>
    <w:p w14:paraId="67886C74" w14:textId="05DF2D5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 xml:space="preserve">Chapter 3 </w:t>
      </w:r>
      <w:r w:rsidR="002E235F">
        <w:rPr>
          <w:rFonts w:ascii="Times New Roman" w:hAnsi="Times New Roman" w:cs="Times New Roman"/>
          <w:b/>
          <w:bCs/>
          <w:sz w:val="28"/>
          <w:szCs w:val="28"/>
        </w:rPr>
        <w:t>–</w:t>
      </w:r>
      <w:r w:rsidRPr="00C60781">
        <w:rPr>
          <w:rFonts w:ascii="Times New Roman" w:hAnsi="Times New Roman" w:cs="Times New Roman"/>
          <w:b/>
          <w:bCs/>
          <w:sz w:val="28"/>
          <w:szCs w:val="28"/>
        </w:rPr>
        <w:t xml:space="preserve"> Methodology</w:t>
      </w:r>
    </w:p>
    <w:p w14:paraId="037992BF" w14:textId="73DF8943" w:rsidR="002E235F" w:rsidRDefault="002E235F" w:rsidP="00C60781">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3.1.    Overview</w:t>
      </w:r>
    </w:p>
    <w:p w14:paraId="46C34420" w14:textId="42B09B0B"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 xml:space="preserve">This chapter describes the methodological framework used to address the five research questions set out in Chapter 1. The study adopts a comparative design in which four families of models </w:t>
      </w:r>
      <w:r w:rsidR="003133E0">
        <w:rPr>
          <w:rFonts w:ascii="Times New Roman" w:hAnsi="Times New Roman" w:cs="Times New Roman"/>
        </w:rPr>
        <w:t>-</w:t>
      </w:r>
      <w:r w:rsidRPr="002E235F">
        <w:rPr>
          <w:rFonts w:ascii="Times New Roman" w:hAnsi="Times New Roman" w:cs="Times New Roman"/>
        </w:rPr>
        <w:t xml:space="preserve"> statistical regression, machine learning, hybrid, and Bayesian Networks </w:t>
      </w:r>
      <w:r w:rsidR="003133E0">
        <w:rPr>
          <w:rFonts w:ascii="Times New Roman" w:hAnsi="Times New Roman" w:cs="Times New Roman"/>
        </w:rPr>
        <w:t>-</w:t>
      </w:r>
      <w:r w:rsidRPr="002E235F">
        <w:rPr>
          <w:rFonts w:ascii="Times New Roman" w:hAnsi="Times New Roman" w:cs="Times New Roman"/>
        </w:rPr>
        <w:t xml:space="preserve"> are applied to five datasets varying in scale, measurement level, and task type. Two datasets involve classification of psychological outcomes at the individual level; two involve regression of life satisfaction at the individual level; and one involves regression of subjective wellbeing at the societal (macro) level. A fifth dataset, synthetically generated, is retained as a data quality case study rather than a substantive modelling exercise. The consistent application of the same model families across all datasets enables direct comparison of predictive performance, interpretability, and structural validity.</w:t>
      </w:r>
    </w:p>
    <w:p w14:paraId="4C195C50" w14:textId="77777777"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Section 3.2 describes each dataset and the preprocessing decisions applied to it. Section 3.3 introduces the four model families and their configurations. Section 3.4 covers the evaluation framework, including metrics, cross-validation strategy, and the handling of the evaluation asymmetry between ML and BN pipelines. Section 3.5 gives a full account of the Bayesian Network structure learning approach, covering the algorithm, scoring function, expert knowledge constraints, parameter estimation, and inference procedure.</w:t>
      </w:r>
    </w:p>
    <w:p w14:paraId="7E1E812A" w14:textId="77777777" w:rsidR="002E235F" w:rsidRPr="00C60781" w:rsidRDefault="002E235F" w:rsidP="00C60781">
      <w:pPr>
        <w:spacing w:after="0" w:line="360" w:lineRule="auto"/>
        <w:jc w:val="both"/>
        <w:rPr>
          <w:rFonts w:ascii="Times New Roman" w:hAnsi="Times New Roman" w:cs="Times New Roman"/>
          <w:b/>
          <w:bCs/>
          <w:sz w:val="28"/>
          <w:szCs w:val="28"/>
        </w:rPr>
      </w:pPr>
    </w:p>
    <w:p w14:paraId="22A45DB1" w14:textId="1822538E"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2</w:t>
      </w:r>
      <w:r w:rsidRPr="00C60781">
        <w:rPr>
          <w:rFonts w:ascii="Times New Roman" w:hAnsi="Times New Roman" w:cs="Times New Roman"/>
          <w:b/>
          <w:bCs/>
          <w:sz w:val="28"/>
          <w:szCs w:val="28"/>
        </w:rPr>
        <w:t>.    Dataset descriptions and preprocessing decisions</w:t>
      </w:r>
    </w:p>
    <w:p w14:paraId="04B6E77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Five datasets were selected to cover a range of wellbeing constructs, measurement instruments, and analytical challenges. The distinction between micro-level (individual survey data) and macro-level (country-aggregated data) is treated as a primary axis of comparison throughout the thesis.</w:t>
      </w:r>
    </w:p>
    <w:p w14:paraId="2A72F468" w14:textId="77777777" w:rsidR="00B31404" w:rsidRPr="00B31404" w:rsidRDefault="00B31404" w:rsidP="00B31404">
      <w:pPr>
        <w:spacing w:after="0" w:line="360" w:lineRule="auto"/>
        <w:rPr>
          <w:rFonts w:ascii="Times New Roman" w:hAnsi="Times New Roman" w:cs="Times New Roman"/>
          <w:b/>
          <w:bCs/>
          <w:sz w:val="28"/>
          <w:szCs w:val="28"/>
        </w:rPr>
      </w:pPr>
    </w:p>
    <w:p w14:paraId="77DAD6D5"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3.2.1 Mental Health in Tech Survey</w:t>
      </w:r>
    </w:p>
    <w:p w14:paraId="2170AD54"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OSMI Mental Health in Tech Survey is a publicly available dataset collected via self-report from technology-sector workers. After removing observations with missing target values, the working sample comprised 995 respondents and 43 features. The prediction target was a three-class variable, </w:t>
      </w:r>
      <w:proofErr w:type="spellStart"/>
      <w:r w:rsidRPr="00B31404">
        <w:rPr>
          <w:rFonts w:ascii="Times New Roman" w:hAnsi="Times New Roman" w:cs="Times New Roman"/>
          <w:i/>
          <w:iCs/>
        </w:rPr>
        <w:t>combined_target</w:t>
      </w:r>
      <w:proofErr w:type="spellEnd"/>
      <w:r w:rsidRPr="00B31404">
        <w:rPr>
          <w:rFonts w:ascii="Times New Roman" w:hAnsi="Times New Roman" w:cs="Times New Roman"/>
        </w:rPr>
        <w:t>, constructed by crossing the work interference item (</w:t>
      </w:r>
      <w:proofErr w:type="spellStart"/>
      <w:r w:rsidRPr="00B31404">
        <w:rPr>
          <w:rFonts w:ascii="Times New Roman" w:hAnsi="Times New Roman" w:cs="Times New Roman"/>
          <w:i/>
          <w:iCs/>
        </w:rPr>
        <w:t>work_interfere</w:t>
      </w:r>
      <w:proofErr w:type="spellEnd"/>
      <w:r w:rsidRPr="00B31404">
        <w:rPr>
          <w:rFonts w:ascii="Times New Roman" w:hAnsi="Times New Roman" w:cs="Times New Roman"/>
        </w:rPr>
        <w:t xml:space="preserve">) with whether the respondent had sought treatment: Class 0 indicates no </w:t>
      </w:r>
      <w:r w:rsidRPr="00B31404">
        <w:rPr>
          <w:rFonts w:ascii="Times New Roman" w:hAnsi="Times New Roman" w:cs="Times New Roman"/>
        </w:rPr>
        <w:lastRenderedPageBreak/>
        <w:t>interference, Class 1 indicates interference without treatment, and Class 2 indicates interference with treatment. The class distribution was approximately 60.6%, 21.4%, and 18.0% respectively.</w:t>
      </w:r>
    </w:p>
    <w:p w14:paraId="7AB64468"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Preprocessing for the machine learning pipeline included the addition of binary missingness indicators for features with non-trivial missing rates, followed by median imputation for continuous variables and mode imputation for </w:t>
      </w:r>
      <w:proofErr w:type="spellStart"/>
      <w:r w:rsidRPr="00B31404">
        <w:rPr>
          <w:rFonts w:ascii="Times New Roman" w:hAnsi="Times New Roman" w:cs="Times New Roman"/>
        </w:rPr>
        <w:t>categoricals</w:t>
      </w:r>
      <w:proofErr w:type="spellEnd"/>
      <w:r w:rsidRPr="00B31404">
        <w:rPr>
          <w:rFonts w:ascii="Times New Roman" w:hAnsi="Times New Roman" w:cs="Times New Roman"/>
        </w:rPr>
        <w:t>. Nominal features were one-hot encoded with reference categories dropped to prevent multicollinearity. For the Bayesian Network pipeline, missing values were preserved as a distinct state rather than imputed, ordinal encodings were retained, and high-cardinality geographic features (</w:t>
      </w:r>
      <w:r w:rsidRPr="00B31404">
        <w:rPr>
          <w:rFonts w:ascii="Times New Roman" w:hAnsi="Times New Roman" w:cs="Times New Roman"/>
          <w:i/>
          <w:iCs/>
        </w:rPr>
        <w:t>Country</w:t>
      </w:r>
      <w:r w:rsidRPr="00B31404">
        <w:rPr>
          <w:rFonts w:ascii="Times New Roman" w:hAnsi="Times New Roman" w:cs="Times New Roman"/>
        </w:rPr>
        <w:t xml:space="preserve"> and </w:t>
      </w:r>
      <w:r w:rsidRPr="00B31404">
        <w:rPr>
          <w:rFonts w:ascii="Times New Roman" w:hAnsi="Times New Roman" w:cs="Times New Roman"/>
          <w:i/>
          <w:iCs/>
        </w:rPr>
        <w:t>state</w:t>
      </w:r>
      <w:r w:rsidRPr="00B31404">
        <w:rPr>
          <w:rFonts w:ascii="Times New Roman" w:hAnsi="Times New Roman" w:cs="Times New Roman"/>
        </w:rPr>
        <w:t>) were excluded, as their large number of discrete states would render conditional probability tables sparse and unstable.</w:t>
      </w:r>
    </w:p>
    <w:p w14:paraId="5B4D9E74" w14:textId="77777777" w:rsidR="00B31404" w:rsidRPr="00B31404" w:rsidRDefault="00B31404" w:rsidP="00B31404">
      <w:pPr>
        <w:spacing w:after="0" w:line="360" w:lineRule="auto"/>
        <w:rPr>
          <w:rFonts w:ascii="Times New Roman" w:hAnsi="Times New Roman" w:cs="Times New Roman"/>
          <w:b/>
          <w:bCs/>
          <w:sz w:val="28"/>
          <w:szCs w:val="28"/>
        </w:rPr>
      </w:pPr>
    </w:p>
    <w:p w14:paraId="3D6B4244"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3.2.2 Student Depression Dataset</w:t>
      </w:r>
    </w:p>
    <w:p w14:paraId="56DA078A" w14:textId="3617A27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contains survey responses from students on academic, social, and psychological variables. After filtering to confirmed student respondents </w:t>
      </w:r>
      <w:r w:rsidR="003133E0">
        <w:rPr>
          <w:rFonts w:ascii="Times New Roman" w:hAnsi="Times New Roman" w:cs="Times New Roman"/>
        </w:rPr>
        <w:t>-</w:t>
      </w:r>
      <w:r w:rsidRPr="00B31404">
        <w:rPr>
          <w:rFonts w:ascii="Times New Roman" w:hAnsi="Times New Roman" w:cs="Times New Roman"/>
        </w:rPr>
        <w:t xml:space="preserve"> removing 0.1% of rows identified as non-students </w:t>
      </w:r>
      <w:r w:rsidR="003133E0">
        <w:rPr>
          <w:rFonts w:ascii="Times New Roman" w:hAnsi="Times New Roman" w:cs="Times New Roman"/>
        </w:rPr>
        <w:t>-</w:t>
      </w:r>
      <w:r w:rsidRPr="00B31404">
        <w:rPr>
          <w:rFonts w:ascii="Times New Roman" w:hAnsi="Times New Roman" w:cs="Times New Roman"/>
        </w:rPr>
        <w:t xml:space="preserve"> the sample comprised 27,870 observations. The binary target, </w:t>
      </w:r>
      <w:proofErr w:type="spellStart"/>
      <w:r w:rsidRPr="00B31404">
        <w:rPr>
          <w:rFonts w:ascii="Times New Roman" w:hAnsi="Times New Roman" w:cs="Times New Roman"/>
          <w:i/>
          <w:iCs/>
        </w:rPr>
        <w:t>Depression_yes</w:t>
      </w:r>
      <w:proofErr w:type="spellEnd"/>
      <w:r w:rsidRPr="00B31404">
        <w:rPr>
          <w:rFonts w:ascii="Times New Roman" w:hAnsi="Times New Roman" w:cs="Times New Roman"/>
        </w:rPr>
        <w:t xml:space="preserve">, indicated presence or absence of depression. Four features were dropped prior to modelling: </w:t>
      </w:r>
      <w:r w:rsidRPr="00B31404">
        <w:rPr>
          <w:rFonts w:ascii="Times New Roman" w:hAnsi="Times New Roman" w:cs="Times New Roman"/>
          <w:i/>
          <w:iCs/>
        </w:rPr>
        <w:t>City</w:t>
      </w:r>
      <w:r w:rsidRPr="00B31404">
        <w:rPr>
          <w:rFonts w:ascii="Times New Roman" w:hAnsi="Times New Roman" w:cs="Times New Roman"/>
        </w:rPr>
        <w:t xml:space="preserve">, which contained a mix of city names and degree abbreviations indicating data entry inconsistency; </w:t>
      </w:r>
      <w:r w:rsidRPr="00B31404">
        <w:rPr>
          <w:rFonts w:ascii="Times New Roman" w:hAnsi="Times New Roman" w:cs="Times New Roman"/>
          <w:i/>
          <w:iCs/>
        </w:rPr>
        <w:t>Profession</w:t>
      </w:r>
      <w:r w:rsidRPr="00B31404">
        <w:rPr>
          <w:rFonts w:ascii="Times New Roman" w:hAnsi="Times New Roman" w:cs="Times New Roman"/>
        </w:rPr>
        <w:t xml:space="preserve">, redundant after student filtering; and </w:t>
      </w:r>
      <w:r w:rsidRPr="00B31404">
        <w:rPr>
          <w:rFonts w:ascii="Times New Roman" w:hAnsi="Times New Roman" w:cs="Times New Roman"/>
          <w:i/>
          <w:iCs/>
        </w:rPr>
        <w:t>Work Pressure</w:t>
      </w:r>
      <w:r w:rsidRPr="00B31404">
        <w:rPr>
          <w:rFonts w:ascii="Times New Roman" w:hAnsi="Times New Roman" w:cs="Times New Roman"/>
        </w:rPr>
        <w:t xml:space="preserve"> and </w:t>
      </w:r>
      <w:r w:rsidRPr="00B31404">
        <w:rPr>
          <w:rFonts w:ascii="Times New Roman" w:hAnsi="Times New Roman" w:cs="Times New Roman"/>
          <w:i/>
          <w:iCs/>
        </w:rPr>
        <w:t>Job Satisfaction</w:t>
      </w:r>
      <w:r w:rsidRPr="00B31404">
        <w:rPr>
          <w:rFonts w:ascii="Times New Roman" w:hAnsi="Times New Roman" w:cs="Times New Roman"/>
        </w:rPr>
        <w:t>, which are not applicable to a student population. The final feature set comprised 23 variables.</w:t>
      </w:r>
    </w:p>
    <w:p w14:paraId="056015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notable characteristic of this dataset is the dominance of the suicidal ideation feature, which accounts for approximately 52–56% of intrinsic variable importance in tree-based models. Because suicidal ideation is a co-symptom of depression rather than an antecedent cause, its concentration of predictive signal raises questions about whether the models are learning genuine risk-factor structure or simply detecting a correlated symptom. This is examined in sensitivity analysis. For the Bayesian Network, age and CGPA were </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bins to satisfy the discrete variable requirement; continuous features in the ML pipeline were retained in their original form.</w:t>
      </w:r>
    </w:p>
    <w:p w14:paraId="60B84F26" w14:textId="77777777" w:rsidR="00B31404" w:rsidRPr="00B31404" w:rsidRDefault="00B31404" w:rsidP="00B31404">
      <w:pPr>
        <w:spacing w:after="0" w:line="360" w:lineRule="auto"/>
        <w:rPr>
          <w:rFonts w:ascii="Times New Roman" w:hAnsi="Times New Roman" w:cs="Times New Roman"/>
          <w:b/>
          <w:bCs/>
          <w:sz w:val="28"/>
          <w:szCs w:val="28"/>
        </w:rPr>
      </w:pPr>
    </w:p>
    <w:p w14:paraId="521248A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3.2.3 Canadian Community Health Survey</w:t>
      </w:r>
    </w:p>
    <w:p w14:paraId="2279726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large-scale national health survey comprises approximately 104,000 respondents. The continuous target, </w:t>
      </w:r>
      <w:proofErr w:type="spellStart"/>
      <w:r w:rsidRPr="00B31404">
        <w:rPr>
          <w:rFonts w:ascii="Times New Roman" w:hAnsi="Times New Roman" w:cs="Times New Roman"/>
          <w:i/>
          <w:iCs/>
        </w:rPr>
        <w:t>Life_satisfaction</w:t>
      </w:r>
      <w:proofErr w:type="spellEnd"/>
      <w:r w:rsidRPr="00B31404">
        <w:rPr>
          <w:rFonts w:ascii="Times New Roman" w:hAnsi="Times New Roman" w:cs="Times New Roman"/>
        </w:rPr>
        <w:t xml:space="preserve">, is measured on a 0–10 scale. Columns with more than 60% missing values were dropped prior to modelling, removing features such as BMI for the 12–17 age group, fruit and vegetable consumption, and smoking status. The target missingness indicator was </w:t>
      </w:r>
      <w:r w:rsidRPr="00B31404">
        <w:rPr>
          <w:rFonts w:ascii="Times New Roman" w:hAnsi="Times New Roman" w:cs="Times New Roman"/>
        </w:rPr>
        <w:lastRenderedPageBreak/>
        <w:t>excluded from the feature set to prevent leakage. After preprocessing, approximately 58 features were retained.</w:t>
      </w:r>
    </w:p>
    <w:p w14:paraId="282797F1" w14:textId="5443F85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variables </w:t>
      </w:r>
      <w:r w:rsidR="003133E0">
        <w:rPr>
          <w:rFonts w:ascii="Times New Roman" w:hAnsi="Times New Roman" w:cs="Times New Roman"/>
        </w:rPr>
        <w:t>-</w:t>
      </w:r>
      <w:r w:rsidRPr="00B31404">
        <w:rPr>
          <w:rFonts w:ascii="Times New Roman" w:hAnsi="Times New Roman" w:cs="Times New Roman"/>
        </w:rPr>
        <w:t xml:space="preserve"> </w:t>
      </w:r>
      <w:proofErr w:type="spellStart"/>
      <w:r w:rsidRPr="00B31404">
        <w:rPr>
          <w:rFonts w:ascii="Times New Roman" w:hAnsi="Times New Roman" w:cs="Times New Roman"/>
          <w:i/>
          <w:iCs/>
        </w:rPr>
        <w:t>Mental_health_state</w:t>
      </w:r>
      <w:proofErr w:type="spellEnd"/>
      <w:r w:rsidRPr="00B31404">
        <w:rPr>
          <w:rFonts w:ascii="Times New Roman" w:hAnsi="Times New Roman" w:cs="Times New Roman"/>
        </w:rPr>
        <w:t xml:space="preserve"> and </w:t>
      </w:r>
      <w:proofErr w:type="spellStart"/>
      <w:r w:rsidRPr="00B31404">
        <w:rPr>
          <w:rFonts w:ascii="Times New Roman" w:hAnsi="Times New Roman" w:cs="Times New Roman"/>
          <w:i/>
          <w:iCs/>
        </w:rPr>
        <w:t>Gen_health_state</w:t>
      </w:r>
      <w:proofErr w:type="spellEnd"/>
      <w:r w:rsidRPr="00B31404">
        <w:rPr>
          <w:rFonts w:ascii="Times New Roman" w:hAnsi="Times New Roman" w:cs="Times New Roman"/>
        </w:rPr>
        <w:t xml:space="preserve"> </w:t>
      </w:r>
      <w:r w:rsidR="003133E0">
        <w:rPr>
          <w:rFonts w:ascii="Times New Roman" w:hAnsi="Times New Roman" w:cs="Times New Roman"/>
        </w:rPr>
        <w:t>-</w:t>
      </w:r>
      <w:r w:rsidRPr="00B31404">
        <w:rPr>
          <w:rFonts w:ascii="Times New Roman" w:hAnsi="Times New Roman" w:cs="Times New Roman"/>
        </w:rPr>
        <w:t xml:space="preserve"> are self-rated health variables that function as proxies for life satisfaction: they correlate strongly with the target but arguably reflect a similar evaluative process rather than being independent causal inputs. Their contribution is examined in a dedicated sensitivity analysis. </w:t>
      </w:r>
      <w:proofErr w:type="spellStart"/>
      <w:r w:rsidRPr="00B31404">
        <w:rPr>
          <w:rFonts w:ascii="Times New Roman" w:hAnsi="Times New Roman" w:cs="Times New Roman"/>
          <w:i/>
          <w:iCs/>
        </w:rPr>
        <w:t>Food_security</w:t>
      </w:r>
      <w:proofErr w:type="spellEnd"/>
      <w:r w:rsidRPr="00B31404">
        <w:rPr>
          <w:rFonts w:ascii="Times New Roman" w:hAnsi="Times New Roman" w:cs="Times New Roman"/>
        </w:rPr>
        <w:t xml:space="preserve"> is coded ordinally from 0 (fully food-secure) to 3 (severely insecure). </w:t>
      </w:r>
      <w:r w:rsidRPr="00B31404">
        <w:rPr>
          <w:rFonts w:ascii="Times New Roman" w:hAnsi="Times New Roman" w:cs="Times New Roman"/>
          <w:i/>
          <w:iCs/>
        </w:rPr>
        <w:t>BMI_18_above</w:t>
      </w:r>
      <w:r w:rsidRPr="00B31404">
        <w:rPr>
          <w:rFonts w:ascii="Times New Roman" w:hAnsi="Times New Roman" w:cs="Times New Roman"/>
        </w:rPr>
        <w:t xml:space="preserve"> is coded as 1 (underweight or normal) and 2 (overweight or obese).</w:t>
      </w:r>
    </w:p>
    <w:p w14:paraId="5125D47C" w14:textId="77777777" w:rsidR="00B31404" w:rsidRPr="00B31404" w:rsidRDefault="00B31404" w:rsidP="00B31404">
      <w:pPr>
        <w:spacing w:after="0" w:line="360" w:lineRule="auto"/>
        <w:rPr>
          <w:rFonts w:ascii="Times New Roman" w:hAnsi="Times New Roman" w:cs="Times New Roman"/>
          <w:b/>
          <w:bCs/>
          <w:sz w:val="28"/>
          <w:szCs w:val="28"/>
        </w:rPr>
      </w:pPr>
    </w:p>
    <w:p w14:paraId="11FCB1F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3.2.4 WHR Synthetic Dataset</w:t>
      </w:r>
    </w:p>
    <w:p w14:paraId="264370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presented on Kaggle as a World Happiness Report synthetic dataset, contains 4,000 observations across 10 countries and 20 years. The </w:t>
      </w:r>
      <w:proofErr w:type="spellStart"/>
      <w:r w:rsidRPr="00B31404">
        <w:rPr>
          <w:rFonts w:ascii="Times New Roman" w:hAnsi="Times New Roman" w:cs="Times New Roman"/>
          <w:i/>
          <w:iCs/>
        </w:rPr>
        <w:t>Happiness_Score</w:t>
      </w:r>
      <w:proofErr w:type="spellEnd"/>
      <w:r w:rsidRPr="00B31404">
        <w:rPr>
          <w:rFonts w:ascii="Times New Roman" w:hAnsi="Times New Roman" w:cs="Times New Roman"/>
        </w:rPr>
        <w:t xml:space="preserve"> column was dropped prior to modelling due to direct target leakage. Initial modelling revealed that all model families returned R² values near zero, and the maximum absolute correlation between any feature and the target was 0.049. The dataset contains no genuine predictive signal and is therefore not used as a substantive modelling exercise. It is retained as a case study in data quality detection, illustrating how a consistent modelling pipeline can identify a null-signal dataset before interpretability or causal analysis is attempted. The methodological implications of this finding are discussed in Section 4.4.1.</w:t>
      </w:r>
    </w:p>
    <w:p w14:paraId="09B0E9F3" w14:textId="77777777" w:rsidR="00B31404" w:rsidRPr="00B31404" w:rsidRDefault="00B31404" w:rsidP="00B31404">
      <w:pPr>
        <w:spacing w:after="0" w:line="360" w:lineRule="auto"/>
        <w:rPr>
          <w:rFonts w:ascii="Times New Roman" w:hAnsi="Times New Roman" w:cs="Times New Roman"/>
          <w:b/>
          <w:bCs/>
          <w:sz w:val="28"/>
          <w:szCs w:val="28"/>
        </w:rPr>
      </w:pPr>
    </w:p>
    <w:p w14:paraId="042C76BC"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3.2.5 WHR Gallup Dataset</w:t>
      </w:r>
    </w:p>
    <w:p w14:paraId="38D3CFC2"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Gallup World Poll data underlying the World Happiness Report was obtained via Kaggle and represents the most credible macro-level dataset in this study. The working sample comprised 1,949 observations across 149 countries and the period 2005–2020. The target variable, </w:t>
      </w:r>
      <w:proofErr w:type="spellStart"/>
      <w:r w:rsidRPr="00B31404">
        <w:rPr>
          <w:rFonts w:ascii="Times New Roman" w:hAnsi="Times New Roman" w:cs="Times New Roman"/>
          <w:i/>
          <w:iCs/>
        </w:rPr>
        <w:t>Life_Ladder</w:t>
      </w:r>
      <w:proofErr w:type="spellEnd"/>
      <w:r w:rsidRPr="00B31404">
        <w:rPr>
          <w:rFonts w:ascii="Times New Roman" w:hAnsi="Times New Roman" w:cs="Times New Roman"/>
        </w:rPr>
        <w:t xml:space="preserve">, is the </w:t>
      </w:r>
      <w:proofErr w:type="spellStart"/>
      <w:r w:rsidRPr="00B31404">
        <w:rPr>
          <w:rFonts w:ascii="Times New Roman" w:hAnsi="Times New Roman" w:cs="Times New Roman"/>
        </w:rPr>
        <w:t>Cantril</w:t>
      </w:r>
      <w:proofErr w:type="spellEnd"/>
      <w:r w:rsidRPr="00B31404">
        <w:rPr>
          <w:rFonts w:ascii="Times New Roman" w:hAnsi="Times New Roman" w:cs="Times New Roman"/>
        </w:rPr>
        <w:t xml:space="preserve"> self-anchoring scale, which asks respondents to place their current life on a ladder from 0 (worst possible life) to 10 (best possible life). Seventeen features were retained after preprocessing, including log GDP per capita, social support, healthy life expectancy at birth, freedom to make life choices, generosity, perceptions of corruption, positive affect, negative </w:t>
      </w:r>
      <w:proofErr w:type="gramStart"/>
      <w:r w:rsidRPr="00B31404">
        <w:rPr>
          <w:rFonts w:ascii="Times New Roman" w:hAnsi="Times New Roman" w:cs="Times New Roman"/>
        </w:rPr>
        <w:t>affect</w:t>
      </w:r>
      <w:proofErr w:type="gramEnd"/>
      <w:r w:rsidRPr="00B31404">
        <w:rPr>
          <w:rFonts w:ascii="Times New Roman" w:hAnsi="Times New Roman" w:cs="Times New Roman"/>
        </w:rPr>
        <w:t>, year, and binary missingness indicators for all columns with missing values. The maximum absolute feature-target correlation was 0.783, confirming genuine predictive signal. For the Bayesian Network, all continuous variables were quantile-</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five equal-frequency </w:t>
      </w:r>
      <w:r w:rsidRPr="00B31404">
        <w:rPr>
          <w:rFonts w:ascii="Times New Roman" w:hAnsi="Times New Roman" w:cs="Times New Roman"/>
        </w:rPr>
        <w:lastRenderedPageBreak/>
        <w:t>bins; year was binned into five-year periods to reduce the number of discrete states while preserving temporal ordering.</w:t>
      </w:r>
    </w:p>
    <w:p w14:paraId="5D388EAC" w14:textId="77777777" w:rsidR="002E235F" w:rsidRPr="00C60781" w:rsidRDefault="002E235F" w:rsidP="00C60781">
      <w:pPr>
        <w:spacing w:after="0" w:line="360" w:lineRule="auto"/>
        <w:rPr>
          <w:rFonts w:ascii="Times New Roman" w:hAnsi="Times New Roman" w:cs="Times New Roman"/>
          <w:b/>
          <w:bCs/>
          <w:sz w:val="28"/>
          <w:szCs w:val="28"/>
        </w:rPr>
      </w:pPr>
    </w:p>
    <w:p w14:paraId="16AB2745" w14:textId="3B701421"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3</w:t>
      </w:r>
      <w:r w:rsidRPr="00C60781">
        <w:rPr>
          <w:rFonts w:ascii="Times New Roman" w:hAnsi="Times New Roman" w:cs="Times New Roman"/>
          <w:b/>
          <w:bCs/>
          <w:sz w:val="28"/>
          <w:szCs w:val="28"/>
        </w:rPr>
        <w:t>.    Model families and configurations</w:t>
      </w:r>
    </w:p>
    <w:p w14:paraId="55153E5D"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Four model families are applied consistently across all datasets. Each family represents a distinct position on the trade-off between predictive performance and interpretability, and their comparison is central to Research Questions 1, 2, and 3.</w:t>
      </w:r>
    </w:p>
    <w:p w14:paraId="36D3CB89" w14:textId="77777777" w:rsidR="00B31404" w:rsidRPr="00B31404" w:rsidRDefault="00B31404" w:rsidP="00B31404">
      <w:pPr>
        <w:spacing w:after="0" w:line="360" w:lineRule="auto"/>
        <w:rPr>
          <w:rFonts w:ascii="Times New Roman" w:hAnsi="Times New Roman" w:cs="Times New Roman"/>
          <w:b/>
          <w:bCs/>
          <w:sz w:val="28"/>
          <w:szCs w:val="28"/>
        </w:rPr>
      </w:pPr>
    </w:p>
    <w:p w14:paraId="2B06531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3.3.1 Statistical Baseline Models</w:t>
      </w:r>
    </w:p>
    <w:p w14:paraId="2CADB8D9" w14:textId="77777777" w:rsidR="00B31404" w:rsidRPr="00B31404" w:rsidRDefault="00B31404" w:rsidP="00B31404">
      <w:pPr>
        <w:spacing w:after="0" w:line="360" w:lineRule="auto"/>
        <w:jc w:val="both"/>
        <w:rPr>
          <w:rFonts w:ascii="Times New Roman" w:hAnsi="Times New Roman" w:cs="Times New Roman"/>
        </w:rPr>
      </w:pPr>
      <w:proofErr w:type="gramStart"/>
      <w:r w:rsidRPr="00B31404">
        <w:rPr>
          <w:rFonts w:ascii="Times New Roman" w:hAnsi="Times New Roman" w:cs="Times New Roman"/>
        </w:rPr>
        <w:t>The statistical</w:t>
      </w:r>
      <w:proofErr w:type="gramEnd"/>
      <w:r w:rsidRPr="00B31404">
        <w:rPr>
          <w:rFonts w:ascii="Times New Roman" w:hAnsi="Times New Roman" w:cs="Times New Roman"/>
        </w:rPr>
        <w:t xml:space="preserve"> baseline models serve as the interpretability anchor for the study. For classification tasks, logistic regression is used; for regression tasks, ordinary least squares linear regression is used. These models are selected not because they are expected to achieve the highest predictive accuracy, but because they are maximally transparent: every predictor's effect is directly readable from its estimated coefficient, including direction and magnitude. This transparency makes them the natural reference point for the interpretability comparisons developed in later chapters.</w:t>
      </w:r>
    </w:p>
    <w:p w14:paraId="1F99387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single decision tree (classifier or regressor depending on task) is also included in the baseline set. Decision trees occupy an intermediate position: they are non-parametric and capable of capturing non-linear relationships and interactions, yet their structure can be </w:t>
      </w:r>
      <w:proofErr w:type="spellStart"/>
      <w:r w:rsidRPr="00B31404">
        <w:rPr>
          <w:rFonts w:ascii="Times New Roman" w:hAnsi="Times New Roman" w:cs="Times New Roman"/>
        </w:rPr>
        <w:t>visualised</w:t>
      </w:r>
      <w:proofErr w:type="spellEnd"/>
      <w:r w:rsidRPr="00B31404">
        <w:rPr>
          <w:rFonts w:ascii="Times New Roman" w:hAnsi="Times New Roman" w:cs="Times New Roman"/>
        </w:rPr>
        <w:t xml:space="preserve"> and traversed directly. Maximum depth is constrained via cross-validation to limit overfitting.</w:t>
      </w:r>
    </w:p>
    <w:p w14:paraId="72070890" w14:textId="77777777" w:rsidR="00B31404" w:rsidRPr="00B31404" w:rsidRDefault="00B31404" w:rsidP="00B31404">
      <w:pPr>
        <w:spacing w:after="0" w:line="360" w:lineRule="auto"/>
        <w:rPr>
          <w:rFonts w:ascii="Times New Roman" w:hAnsi="Times New Roman" w:cs="Times New Roman"/>
          <w:b/>
          <w:bCs/>
          <w:sz w:val="28"/>
          <w:szCs w:val="28"/>
        </w:rPr>
      </w:pPr>
    </w:p>
    <w:p w14:paraId="5418330D"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3.3.2 Machine Learning Models</w:t>
      </w:r>
    </w:p>
    <w:p w14:paraId="3F6B634C" w14:textId="033C5C48"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ensemble methods form the primary machine learning models. Random Forest constructs a large ensemble of decision </w:t>
      </w:r>
      <w:proofErr w:type="gramStart"/>
      <w:r w:rsidRPr="00B31404">
        <w:rPr>
          <w:rFonts w:ascii="Times New Roman" w:hAnsi="Times New Roman" w:cs="Times New Roman"/>
        </w:rPr>
        <w:t>trees,</w:t>
      </w:r>
      <w:proofErr w:type="gramEnd"/>
      <w:r w:rsidRPr="00B31404">
        <w:rPr>
          <w:rFonts w:ascii="Times New Roman" w:hAnsi="Times New Roman" w:cs="Times New Roman"/>
        </w:rPr>
        <w:t xml:space="preserve"> each trained on a bootstrap sample of the training data with a random subset of features considered at each split. Predictions are aggregated by majority vote (classification) or averaging (regression). The </w:t>
      </w:r>
      <w:proofErr w:type="spellStart"/>
      <w:r w:rsidRPr="00B31404">
        <w:rPr>
          <w:rFonts w:ascii="Times New Roman" w:hAnsi="Times New Roman" w:cs="Times New Roman"/>
        </w:rPr>
        <w:t>randomisation</w:t>
      </w:r>
      <w:proofErr w:type="spellEnd"/>
      <w:r w:rsidRPr="00B31404">
        <w:rPr>
          <w:rFonts w:ascii="Times New Roman" w:hAnsi="Times New Roman" w:cs="Times New Roman"/>
        </w:rPr>
        <w:t xml:space="preserve"> introduced at both the sample and feature level reduces variance relative to any individual tree, and the ensemble's feature importance scores </w:t>
      </w:r>
      <w:r w:rsidR="003133E0">
        <w:rPr>
          <w:rFonts w:ascii="Times New Roman" w:hAnsi="Times New Roman" w:cs="Times New Roman"/>
        </w:rPr>
        <w:t>-</w:t>
      </w:r>
      <w:r w:rsidRPr="00B31404">
        <w:rPr>
          <w:rFonts w:ascii="Times New Roman" w:hAnsi="Times New Roman" w:cs="Times New Roman"/>
        </w:rPr>
        <w:t xml:space="preserve"> based on the aggregate reduction in node impurity across all trees </w:t>
      </w:r>
      <w:r w:rsidR="003133E0">
        <w:rPr>
          <w:rFonts w:ascii="Times New Roman" w:hAnsi="Times New Roman" w:cs="Times New Roman"/>
        </w:rPr>
        <w:t>-</w:t>
      </w:r>
      <w:r w:rsidRPr="00B31404">
        <w:rPr>
          <w:rFonts w:ascii="Times New Roman" w:hAnsi="Times New Roman" w:cs="Times New Roman"/>
        </w:rPr>
        <w:t xml:space="preserve"> provide a global measure of variable relevance.</w:t>
      </w:r>
    </w:p>
    <w:p w14:paraId="15CD31D4" w14:textId="77777777" w:rsidR="00B31404" w:rsidRPr="00B31404" w:rsidRDefault="00B31404" w:rsidP="00B31404">
      <w:pPr>
        <w:spacing w:after="0" w:line="360" w:lineRule="auto"/>
        <w:jc w:val="both"/>
        <w:rPr>
          <w:rFonts w:ascii="Times New Roman" w:hAnsi="Times New Roman" w:cs="Times New Roman"/>
        </w:rPr>
      </w:pP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implements gradient boosting, constructing trees sequentially such that each new tree is fitted to the pseudo-residuals of the current ensemble under a differentiable loss function. </w:t>
      </w:r>
      <w:proofErr w:type="spellStart"/>
      <w:r w:rsidRPr="00B31404">
        <w:rPr>
          <w:rFonts w:ascii="Times New Roman" w:hAnsi="Times New Roman" w:cs="Times New Roman"/>
        </w:rPr>
        <w:lastRenderedPageBreak/>
        <w:t>Regularisation</w:t>
      </w:r>
      <w:proofErr w:type="spellEnd"/>
      <w:r w:rsidRPr="00B31404">
        <w:rPr>
          <w:rFonts w:ascii="Times New Roman" w:hAnsi="Times New Roman" w:cs="Times New Roman"/>
        </w:rPr>
        <w:t xml:space="preserve"> is applied through a learning rate (shrinkage), subsampling of rows and columns, and L1/L2 penalties on leaf weights.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achieves the highest or near-highest predictive performance across all datasets in this study. Its predictions are used as the basis for the SHAP interpretability analysis described in Section 3.4.</w:t>
      </w:r>
    </w:p>
    <w:p w14:paraId="7BFD55F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Both models are evaluated using five-fold cross-validation with stratification on the target variable. Hyperparameters are held at well-established defaults throughout; the primary goal is comparison across model families rather than maximum </w:t>
      </w:r>
      <w:proofErr w:type="spellStart"/>
      <w:r w:rsidRPr="00B31404">
        <w:rPr>
          <w:rFonts w:ascii="Times New Roman" w:hAnsi="Times New Roman" w:cs="Times New Roman"/>
        </w:rPr>
        <w:t>optimisation</w:t>
      </w:r>
      <w:proofErr w:type="spellEnd"/>
      <w:r w:rsidRPr="00B31404">
        <w:rPr>
          <w:rFonts w:ascii="Times New Roman" w:hAnsi="Times New Roman" w:cs="Times New Roman"/>
        </w:rPr>
        <w:t xml:space="preserve"> of any individual model.</w:t>
      </w:r>
    </w:p>
    <w:p w14:paraId="7623A05A" w14:textId="77777777" w:rsidR="00B31404" w:rsidRPr="00B31404" w:rsidRDefault="00B31404" w:rsidP="00B31404">
      <w:pPr>
        <w:spacing w:after="0" w:line="360" w:lineRule="auto"/>
        <w:rPr>
          <w:rFonts w:ascii="Times New Roman" w:hAnsi="Times New Roman" w:cs="Times New Roman"/>
          <w:b/>
          <w:bCs/>
          <w:sz w:val="28"/>
          <w:szCs w:val="28"/>
        </w:rPr>
      </w:pPr>
    </w:p>
    <w:p w14:paraId="40D827FE"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3.3.3 Hybrid Models</w:t>
      </w:r>
    </w:p>
    <w:p w14:paraId="3F8322E6"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Hybrid models combine the feature selection capacity of ensemble methods with the interpretability of linear models. Two selection-</w:t>
      </w:r>
      <w:proofErr w:type="gramStart"/>
      <w:r w:rsidRPr="00B31404">
        <w:rPr>
          <w:rFonts w:ascii="Times New Roman" w:hAnsi="Times New Roman" w:cs="Times New Roman"/>
        </w:rPr>
        <w:t>then</w:t>
      </w:r>
      <w:proofErr w:type="gramEnd"/>
      <w:r w:rsidRPr="00B31404">
        <w:rPr>
          <w:rFonts w:ascii="Times New Roman" w:hAnsi="Times New Roman" w:cs="Times New Roman"/>
        </w:rPr>
        <w:t xml:space="preserve">-estimation pipelines are evaluated: one using Random Forest importance scores to select features, followed by logistic or linear regression on the reduced feature set; and one using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importance scores in the same role. A third hybrid uses stacking, training a logistic or linear regression meta-learner on the out-of-fold predictions generated by Random Forest and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as base learners.</w:t>
      </w:r>
    </w:p>
    <w:p w14:paraId="24DEB36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inclusion of hybrid models reflects a practically motivated question: whether the interpretability of a linear model can be recovered without substantially sacrificing the predictive power of ensemble methods. The cross-dataset finding that hybrid models yield negligible gains over the best ensemble baseline is itself a substantive result, discussed in Chapter 5.</w:t>
      </w:r>
    </w:p>
    <w:p w14:paraId="225747E2" w14:textId="77777777" w:rsidR="00B31404" w:rsidRPr="00C60781" w:rsidRDefault="00B31404" w:rsidP="00C60781">
      <w:pPr>
        <w:spacing w:after="0" w:line="360" w:lineRule="auto"/>
        <w:rPr>
          <w:rFonts w:ascii="Times New Roman" w:hAnsi="Times New Roman" w:cs="Times New Roman"/>
          <w:b/>
          <w:bCs/>
          <w:sz w:val="28"/>
          <w:szCs w:val="28"/>
        </w:rPr>
      </w:pPr>
    </w:p>
    <w:p w14:paraId="3F0E3EFC" w14:textId="684463CF"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4</w:t>
      </w:r>
      <w:r w:rsidRPr="00C60781">
        <w:rPr>
          <w:rFonts w:ascii="Times New Roman" w:hAnsi="Times New Roman" w:cs="Times New Roman"/>
          <w:b/>
          <w:bCs/>
          <w:sz w:val="28"/>
          <w:szCs w:val="28"/>
        </w:rPr>
        <w:t>.    Evaluation framework</w:t>
      </w:r>
    </w:p>
    <w:p w14:paraId="1FCB460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Evaluation metrics are chosen to match the task type and to reflect the priorities established in the research questions.</w:t>
      </w:r>
    </w:p>
    <w:p w14:paraId="544B3DEF" w14:textId="7DE54F31"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classification tasks </w:t>
      </w:r>
      <w:r w:rsidR="003133E0">
        <w:rPr>
          <w:rFonts w:ascii="Times New Roman" w:hAnsi="Times New Roman" w:cs="Times New Roman"/>
        </w:rPr>
        <w:t>-</w:t>
      </w:r>
      <w:r w:rsidRPr="00B31404">
        <w:rPr>
          <w:rFonts w:ascii="Times New Roman" w:hAnsi="Times New Roman" w:cs="Times New Roman"/>
        </w:rPr>
        <w:t xml:space="preserve"> MH Tech and Student Depression </w:t>
      </w:r>
      <w:r w:rsidR="003133E0">
        <w:rPr>
          <w:rFonts w:ascii="Times New Roman" w:hAnsi="Times New Roman" w:cs="Times New Roman"/>
        </w:rPr>
        <w:t>-</w:t>
      </w:r>
      <w:r w:rsidRPr="00B31404">
        <w:rPr>
          <w:rFonts w:ascii="Times New Roman" w:hAnsi="Times New Roman" w:cs="Times New Roman"/>
        </w:rPr>
        <w:t xml:space="preserve"> the primary metric is macro-</w:t>
      </w:r>
      <w:proofErr w:type="gramStart"/>
      <w:r w:rsidRPr="00B31404">
        <w:rPr>
          <w:rFonts w:ascii="Times New Roman" w:hAnsi="Times New Roman" w:cs="Times New Roman"/>
        </w:rPr>
        <w:t>averaged</w:t>
      </w:r>
      <w:proofErr w:type="gramEnd"/>
      <w:r w:rsidRPr="00B31404">
        <w:rPr>
          <w:rFonts w:ascii="Times New Roman" w:hAnsi="Times New Roman" w:cs="Times New Roman"/>
        </w:rPr>
        <w:t xml:space="preserve"> F1 score, which computes precision and recall separately for each class before averaging, weighting all classes equally regardless of their frequency in the data. This is appropriate given the class imbalance present in both datasets, where a majority-class classifier would score misleadingly well on accuracy. Area under the ROC curve (AUC) is reported as a threshold-independent complement; for the three-class MH Tech target, AUC is computed using a one-vs-rest strategy.</w:t>
      </w:r>
    </w:p>
    <w:p w14:paraId="6593D22A" w14:textId="2DEF2F9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 xml:space="preserve">For regression tasks </w:t>
      </w:r>
      <w:r w:rsidR="003133E0">
        <w:rPr>
          <w:rFonts w:ascii="Times New Roman" w:hAnsi="Times New Roman" w:cs="Times New Roman"/>
        </w:rPr>
        <w:t>-</w:t>
      </w:r>
      <w:r w:rsidRPr="00B31404">
        <w:rPr>
          <w:rFonts w:ascii="Times New Roman" w:hAnsi="Times New Roman" w:cs="Times New Roman"/>
        </w:rPr>
        <w:t xml:space="preserve"> Canadian Survey, WHR Gallup, and WHR Synthetic </w:t>
      </w:r>
      <w:r w:rsidR="003133E0">
        <w:rPr>
          <w:rFonts w:ascii="Times New Roman" w:hAnsi="Times New Roman" w:cs="Times New Roman"/>
        </w:rPr>
        <w:t>-</w:t>
      </w:r>
      <w:r w:rsidRPr="00B31404">
        <w:rPr>
          <w:rFonts w:ascii="Times New Roman" w:hAnsi="Times New Roman" w:cs="Times New Roman"/>
        </w:rPr>
        <w:t xml:space="preserve"> the primary metric is R², the proportion of variance in the target explained by the model. Root mean squared error (RMSE) is reported alongside R² to provide a metric expressed in the original scale of the target variable, which aids interpretability of effect magnitudes.</w:t>
      </w:r>
    </w:p>
    <w:p w14:paraId="72F27503" w14:textId="30D3946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All machine learning models are evaluated using stratified five-fold cross-validation, and the reported metrics are the mean values across the five held-out folds. Cross-validated metrics are the primary basis for performance comparisons, as they provide an estimate of out-of-sample </w:t>
      </w:r>
      <w:proofErr w:type="spellStart"/>
      <w:r w:rsidRPr="00B31404">
        <w:rPr>
          <w:rFonts w:ascii="Times New Roman" w:hAnsi="Times New Roman" w:cs="Times New Roman"/>
        </w:rPr>
        <w:t>generalisation</w:t>
      </w:r>
      <w:proofErr w:type="spellEnd"/>
      <w:r w:rsidRPr="00B31404">
        <w:rPr>
          <w:rFonts w:ascii="Times New Roman" w:hAnsi="Times New Roman" w:cs="Times New Roman"/>
        </w:rPr>
        <w:t xml:space="preserve"> rather than in-sample </w:t>
      </w:r>
      <w:proofErr w:type="gramStart"/>
      <w:r w:rsidRPr="00B31404">
        <w:rPr>
          <w:rFonts w:ascii="Times New Roman" w:hAnsi="Times New Roman" w:cs="Times New Roman"/>
        </w:rPr>
        <w:t>fit</w:t>
      </w:r>
      <w:proofErr w:type="gramEnd"/>
      <w:r w:rsidRPr="00B31404">
        <w:rPr>
          <w:rFonts w:ascii="Times New Roman" w:hAnsi="Times New Roman" w:cs="Times New Roman"/>
        </w:rPr>
        <w:t xml:space="preserve">. Bayesian Network predictions are computed on the full dataset because the </w:t>
      </w:r>
      <w:proofErr w:type="spellStart"/>
      <w:r w:rsidRPr="00B31404">
        <w:rPr>
          <w:rFonts w:ascii="Times New Roman" w:hAnsi="Times New Roman" w:cs="Times New Roman"/>
        </w:rPr>
        <w:t>pgmpy</w:t>
      </w:r>
      <w:proofErr w:type="spellEnd"/>
      <w:r w:rsidRPr="00B31404">
        <w:rPr>
          <w:rFonts w:ascii="Times New Roman" w:hAnsi="Times New Roman" w:cs="Times New Roman"/>
        </w:rPr>
        <w:t xml:space="preserve"> inference pipeline does not readily support fold-level re-estimation of structure and parameters. This evaluation asymmetry </w:t>
      </w:r>
      <w:r w:rsidR="003133E0">
        <w:rPr>
          <w:rFonts w:ascii="Times New Roman" w:hAnsi="Times New Roman" w:cs="Times New Roman"/>
        </w:rPr>
        <w:t>-</w:t>
      </w:r>
      <w:r w:rsidRPr="00B31404">
        <w:rPr>
          <w:rFonts w:ascii="Times New Roman" w:hAnsi="Times New Roman" w:cs="Times New Roman"/>
        </w:rPr>
        <w:t xml:space="preserve"> CV metrics for ML models versus full-data metrics for BNs </w:t>
      </w:r>
      <w:r w:rsidR="003133E0">
        <w:rPr>
          <w:rFonts w:ascii="Times New Roman" w:hAnsi="Times New Roman" w:cs="Times New Roman"/>
        </w:rPr>
        <w:t>-</w:t>
      </w:r>
      <w:r w:rsidRPr="00B31404">
        <w:rPr>
          <w:rFonts w:ascii="Times New Roman" w:hAnsi="Times New Roman" w:cs="Times New Roman"/>
        </w:rPr>
        <w:t xml:space="preserve"> is acknowledged throughout the results and discussion chapters. Where direct numerical comparisons are made between ML and BN performance, this asymmetry is explicitly noted, as BN full-data metrics are expected to be modestly optimistic relative to cross-validated equivalents.</w:t>
      </w:r>
    </w:p>
    <w:p w14:paraId="39A3B0C0" w14:textId="77777777" w:rsidR="00B31404" w:rsidRPr="00C60781" w:rsidRDefault="00B31404" w:rsidP="00C60781">
      <w:pPr>
        <w:spacing w:after="0" w:line="360" w:lineRule="auto"/>
        <w:rPr>
          <w:rFonts w:ascii="Times New Roman" w:hAnsi="Times New Roman" w:cs="Times New Roman"/>
          <w:b/>
          <w:bCs/>
          <w:sz w:val="28"/>
          <w:szCs w:val="28"/>
        </w:rPr>
      </w:pPr>
    </w:p>
    <w:p w14:paraId="209316E0" w14:textId="38D4E1C8"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5</w:t>
      </w:r>
      <w:r w:rsidRPr="00C60781">
        <w:rPr>
          <w:rFonts w:ascii="Times New Roman" w:hAnsi="Times New Roman" w:cs="Times New Roman"/>
          <w:b/>
          <w:bCs/>
          <w:sz w:val="28"/>
          <w:szCs w:val="28"/>
        </w:rPr>
        <w:t>.    BN structure learning approach</w:t>
      </w:r>
    </w:p>
    <w:p w14:paraId="60736EA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Bayesian Networks are probabilistic graphical models that represent the joint distribution of a set of random variables as a directed acyclic graph (DAG). Each node in the graph represents a variable; each directed edge from node A to node B encodes a direct conditional dependence of B on A, with B's distribution specified as a conditional probability table (CPT) over the states of its parents. </w:t>
      </w:r>
      <w:proofErr w:type="gramStart"/>
      <w:r w:rsidRPr="003133E0">
        <w:rPr>
          <w:rFonts w:ascii="Times New Roman" w:hAnsi="Times New Roman" w:cs="Times New Roman"/>
        </w:rPr>
        <w:t>The full</w:t>
      </w:r>
      <w:proofErr w:type="gramEnd"/>
      <w:r w:rsidRPr="003133E0">
        <w:rPr>
          <w:rFonts w:ascii="Times New Roman" w:hAnsi="Times New Roman" w:cs="Times New Roman"/>
        </w:rPr>
        <w:t xml:space="preserve"> joint distribution </w:t>
      </w:r>
      <w:proofErr w:type="spellStart"/>
      <w:r w:rsidRPr="003133E0">
        <w:rPr>
          <w:rFonts w:ascii="Times New Roman" w:hAnsi="Times New Roman" w:cs="Times New Roman"/>
        </w:rPr>
        <w:t>factorises</w:t>
      </w:r>
      <w:proofErr w:type="spellEnd"/>
      <w:r w:rsidRPr="003133E0">
        <w:rPr>
          <w:rFonts w:ascii="Times New Roman" w:hAnsi="Times New Roman" w:cs="Times New Roman"/>
        </w:rPr>
        <w:t xml:space="preserve"> as the product of these local conditional distributions, which makes inference computationally tractable and the learned structure directly interpretable as a set of conditional independence claims.</w:t>
      </w:r>
    </w:p>
    <w:p w14:paraId="476833EA"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All Bayesian Networks in this study are implemented using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version 1.1.0.</w:t>
      </w:r>
    </w:p>
    <w:p w14:paraId="10F7C08A" w14:textId="77777777" w:rsidR="003133E0" w:rsidRDefault="003133E0" w:rsidP="003133E0">
      <w:pPr>
        <w:spacing w:after="0" w:line="360" w:lineRule="auto"/>
        <w:rPr>
          <w:rFonts w:ascii="Times New Roman" w:hAnsi="Times New Roman" w:cs="Times New Roman"/>
          <w:b/>
          <w:bCs/>
          <w:sz w:val="28"/>
          <w:szCs w:val="28"/>
        </w:rPr>
      </w:pPr>
    </w:p>
    <w:p w14:paraId="656355AE" w14:textId="77777777" w:rsidR="003133E0" w:rsidRPr="003133E0" w:rsidRDefault="003133E0" w:rsidP="003133E0">
      <w:pPr>
        <w:spacing w:after="0" w:line="360" w:lineRule="auto"/>
        <w:rPr>
          <w:rFonts w:ascii="Times New Roman" w:hAnsi="Times New Roman" w:cs="Times New Roman"/>
          <w:b/>
          <w:bCs/>
          <w:sz w:val="28"/>
          <w:szCs w:val="28"/>
        </w:rPr>
      </w:pPr>
    </w:p>
    <w:p w14:paraId="039C638A"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3.5.1 Structure Learning Algorithm</w:t>
      </w:r>
    </w:p>
    <w:p w14:paraId="21A35C35" w14:textId="391C267B"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Structure learning </w:t>
      </w:r>
      <w:r>
        <w:rPr>
          <w:rFonts w:ascii="Times New Roman" w:hAnsi="Times New Roman" w:cs="Times New Roman"/>
        </w:rPr>
        <w:t>-</w:t>
      </w:r>
      <w:r w:rsidRPr="003133E0">
        <w:rPr>
          <w:rFonts w:ascii="Times New Roman" w:hAnsi="Times New Roman" w:cs="Times New Roman"/>
        </w:rPr>
        <w:t xml:space="preserve"> the task of identifying the DAG from data </w:t>
      </w:r>
      <w:r>
        <w:rPr>
          <w:rFonts w:ascii="Times New Roman" w:hAnsi="Times New Roman" w:cs="Times New Roman"/>
        </w:rPr>
        <w:t>-</w:t>
      </w:r>
      <w:r w:rsidRPr="003133E0">
        <w:rPr>
          <w:rFonts w:ascii="Times New Roman" w:hAnsi="Times New Roman" w:cs="Times New Roman"/>
        </w:rPr>
        <w:t xml:space="preserve"> is performed using the Hill Climb Search (HCS) algorithm. HCS begins with an empty graph and iteratively proposes single-edge operations: addition, removal, or reversal of a directed edge. At each step, the operation yielding </w:t>
      </w:r>
      <w:r w:rsidRPr="003133E0">
        <w:rPr>
          <w:rFonts w:ascii="Times New Roman" w:hAnsi="Times New Roman" w:cs="Times New Roman"/>
        </w:rPr>
        <w:lastRenderedPageBreak/>
        <w:t>the greatest improvement in a scoring function is accepted; the algorithm terminates when no single-edge operation improves the score. HCS is a score-based greedy search and does not guarantee a globally optimal solution, but it is computationally practical for the variable counts encountered in this study and has been shown to recover plausible structures in comparable applied settings (Scutari and Denis, 2014).</w:t>
      </w:r>
    </w:p>
    <w:p w14:paraId="13152424" w14:textId="27DFC58C"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To prevent overfitting through excessive parent sets, the maximum in-degree </w:t>
      </w:r>
      <w:r>
        <w:rPr>
          <w:rFonts w:ascii="Times New Roman" w:hAnsi="Times New Roman" w:cs="Times New Roman"/>
        </w:rPr>
        <w:t>-</w:t>
      </w:r>
      <w:r w:rsidRPr="003133E0">
        <w:rPr>
          <w:rFonts w:ascii="Times New Roman" w:hAnsi="Times New Roman" w:cs="Times New Roman"/>
        </w:rPr>
        <w:t xml:space="preserve"> the number of parents permitted for any single node </w:t>
      </w:r>
      <w:r>
        <w:rPr>
          <w:rFonts w:ascii="Times New Roman" w:hAnsi="Times New Roman" w:cs="Times New Roman"/>
        </w:rPr>
        <w:t>-</w:t>
      </w:r>
      <w:r w:rsidRPr="003133E0">
        <w:rPr>
          <w:rFonts w:ascii="Times New Roman" w:hAnsi="Times New Roman" w:cs="Times New Roman"/>
        </w:rPr>
        <w:t xml:space="preserve"> is constrained to three. This limit reduces the combinatorial search space, prevents the learning of highly specific conditional distributions that would not </w:t>
      </w:r>
      <w:proofErr w:type="spellStart"/>
      <w:r w:rsidRPr="003133E0">
        <w:rPr>
          <w:rFonts w:ascii="Times New Roman" w:hAnsi="Times New Roman" w:cs="Times New Roman"/>
        </w:rPr>
        <w:t>generalise</w:t>
      </w:r>
      <w:proofErr w:type="spellEnd"/>
      <w:r w:rsidRPr="003133E0">
        <w:rPr>
          <w:rFonts w:ascii="Times New Roman" w:hAnsi="Times New Roman" w:cs="Times New Roman"/>
        </w:rPr>
        <w:t>, and produces structures that are more readily interpretable.</w:t>
      </w:r>
    </w:p>
    <w:p w14:paraId="37EAED4B" w14:textId="77777777" w:rsidR="003133E0" w:rsidRPr="003133E0" w:rsidRDefault="003133E0" w:rsidP="003133E0">
      <w:pPr>
        <w:spacing w:after="0" w:line="360" w:lineRule="auto"/>
        <w:rPr>
          <w:rFonts w:ascii="Times New Roman" w:hAnsi="Times New Roman" w:cs="Times New Roman"/>
          <w:b/>
          <w:bCs/>
          <w:sz w:val="28"/>
          <w:szCs w:val="28"/>
        </w:rPr>
      </w:pPr>
    </w:p>
    <w:p w14:paraId="2D18261D"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3.5.2 Scoring Function</w:t>
      </w:r>
    </w:p>
    <w:p w14:paraId="127AE06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scoring function used throughout is BIC-d, the Bayesian Information Criterion adapted for discrete data. For a DAG G and dataset D of n observations, the BIC score is:</w:t>
      </w:r>
    </w:p>
    <w:p w14:paraId="0EFECBC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BIC(G, D) = log P(D | G, θ̂) − (k / 2) · log n</w:t>
      </w:r>
    </w:p>
    <w:p w14:paraId="5FDC18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where log P(D | G, θ̂) is the log-likelihood of the data under the maximum likelihood parameter estimates θ̂, and k is the total number of free parameters across all CPTs in the graph. The penalty term (k / 2</w:t>
      </w:r>
      <w:proofErr w:type="gramStart"/>
      <w:r w:rsidRPr="003133E0">
        <w:rPr>
          <w:rFonts w:ascii="Times New Roman" w:hAnsi="Times New Roman" w:cs="Times New Roman"/>
        </w:rPr>
        <w:t>) · log n</w:t>
      </w:r>
      <w:proofErr w:type="gramEnd"/>
      <w:r w:rsidRPr="003133E0">
        <w:rPr>
          <w:rFonts w:ascii="Times New Roman" w:hAnsi="Times New Roman" w:cs="Times New Roman"/>
        </w:rPr>
        <w:t xml:space="preserve"> discourages the addition of edges whose likelihood gain does not outweigh the cost of the additional parameters they introduce. HCS </w:t>
      </w:r>
      <w:proofErr w:type="spellStart"/>
      <w:r w:rsidRPr="003133E0">
        <w:rPr>
          <w:rFonts w:ascii="Times New Roman" w:hAnsi="Times New Roman" w:cs="Times New Roman"/>
        </w:rPr>
        <w:t>maximises</w:t>
      </w:r>
      <w:proofErr w:type="spellEnd"/>
      <w:r w:rsidRPr="003133E0">
        <w:rPr>
          <w:rFonts w:ascii="Times New Roman" w:hAnsi="Times New Roman" w:cs="Times New Roman"/>
        </w:rPr>
        <w:t xml:space="preserve"> this score, meaning structures with more edges are only preferred when they provide a sufficiently better fit to justify their complexity.</w:t>
      </w:r>
    </w:p>
    <w:p w14:paraId="19B576E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The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1.1.0 built-in BIC scorer is incompatible with the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parameter estimates used in this pipeline due to internal inconsistencies in how the library computes sufficient statistics for mixed prior and ML estimation. BIC scores are therefore computed using a custom implementation that directly evaluates the log-likelihood of the data under the learned CPTs and subtracts the standard BIC penalty. This implementation was validated against manually computed scores on small example graphs prior to use.</w:t>
      </w:r>
    </w:p>
    <w:p w14:paraId="6A95CF51" w14:textId="77777777" w:rsidR="003133E0" w:rsidRPr="003133E0" w:rsidRDefault="003133E0" w:rsidP="003133E0">
      <w:pPr>
        <w:spacing w:after="0" w:line="360" w:lineRule="auto"/>
        <w:rPr>
          <w:rFonts w:ascii="Times New Roman" w:hAnsi="Times New Roman" w:cs="Times New Roman"/>
          <w:b/>
          <w:bCs/>
          <w:sz w:val="28"/>
          <w:szCs w:val="28"/>
        </w:rPr>
      </w:pPr>
    </w:p>
    <w:p w14:paraId="619F0283"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3.5.3 Expert Knowledge Constraints</w:t>
      </w:r>
    </w:p>
    <w:p w14:paraId="2C3034D5" w14:textId="76A83CC1"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An unconstrained Hill Climb Search will sometimes recover edges that are statistically supported by the data but domain-implausible </w:t>
      </w:r>
      <w:r>
        <w:rPr>
          <w:rFonts w:ascii="Times New Roman" w:hAnsi="Times New Roman" w:cs="Times New Roman"/>
        </w:rPr>
        <w:t>-</w:t>
      </w:r>
      <w:r w:rsidRPr="003133E0">
        <w:rPr>
          <w:rFonts w:ascii="Times New Roman" w:hAnsi="Times New Roman" w:cs="Times New Roman"/>
        </w:rPr>
        <w:t xml:space="preserve"> for example, an outcome variable appearing as a parent of a demographic variable, or a time-invariant characteristic being caused by a time-varying one. To </w:t>
      </w:r>
      <w:r w:rsidRPr="003133E0">
        <w:rPr>
          <w:rFonts w:ascii="Times New Roman" w:hAnsi="Times New Roman" w:cs="Times New Roman"/>
        </w:rPr>
        <w:lastRenderedPageBreak/>
        <w:t xml:space="preserve">quantify this problem, an unconstrained BN is estimated for each </w:t>
      </w:r>
      <w:proofErr w:type="gramStart"/>
      <w:r w:rsidRPr="003133E0">
        <w:rPr>
          <w:rFonts w:ascii="Times New Roman" w:hAnsi="Times New Roman" w:cs="Times New Roman"/>
        </w:rPr>
        <w:t>dataset</w:t>
      </w:r>
      <w:proofErr w:type="gramEnd"/>
      <w:r w:rsidRPr="003133E0">
        <w:rPr>
          <w:rFonts w:ascii="Times New Roman" w:hAnsi="Times New Roman" w:cs="Times New Roman"/>
        </w:rPr>
        <w:t xml:space="preserve"> and all recovered edges are evaluated against domain knowledge. Implausible edges are catalogued and the implausibility rate (number of implausible edges as a proportion of total edges) is reported.</w:t>
      </w:r>
    </w:p>
    <w:p w14:paraId="50678FAB"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restricted BN is then estimated by encoding domain constraints as a forbidden edges list, passed to the HCS algorithm via </w:t>
      </w:r>
      <w:proofErr w:type="spellStart"/>
      <w:r w:rsidRPr="003133E0">
        <w:rPr>
          <w:rFonts w:ascii="Times New Roman" w:hAnsi="Times New Roman" w:cs="Times New Roman"/>
        </w:rPr>
        <w:t>pgmpy's</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ExpertKnowledge</w:t>
      </w:r>
      <w:proofErr w:type="spellEnd"/>
      <w:r w:rsidRPr="003133E0">
        <w:rPr>
          <w:rFonts w:ascii="Times New Roman" w:hAnsi="Times New Roman" w:cs="Times New Roman"/>
        </w:rPr>
        <w:t xml:space="preserve"> interface. Forbidden edges prevent the algorithm from ever placing a directed edge in a specified direction between a specified pair of nodes during the search. The categories of forbidden edges applied in this study </w:t>
      </w:r>
      <w:proofErr w:type="gramStart"/>
      <w:r w:rsidRPr="003133E0">
        <w:rPr>
          <w:rFonts w:ascii="Times New Roman" w:hAnsi="Times New Roman" w:cs="Times New Roman"/>
        </w:rPr>
        <w:t>include:</w:t>
      </w:r>
      <w:proofErr w:type="gramEnd"/>
      <w:r w:rsidRPr="003133E0">
        <w:rPr>
          <w:rFonts w:ascii="Times New Roman" w:hAnsi="Times New Roman" w:cs="Times New Roman"/>
        </w:rPr>
        <w:t xml:space="preserve"> demographic or background variables as targets of outcome or symptom variables; time-invariant variables as targets of time-varying ones; and any edge whose direction would imply a causal pathway that is biologically, temporally, or theoretically impossible given the survey design.</w:t>
      </w:r>
    </w:p>
    <w:p w14:paraId="2FFF671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For the Canadian Survey, where the proxy status of </w:t>
      </w:r>
      <w:proofErr w:type="spellStart"/>
      <w:r w:rsidRPr="003133E0">
        <w:rPr>
          <w:rFonts w:ascii="Times New Roman" w:hAnsi="Times New Roman" w:cs="Times New Roman"/>
          <w:i/>
          <w:iCs/>
        </w:rPr>
        <w:t>Mental_health_state</w:t>
      </w:r>
      <w:proofErr w:type="spellEnd"/>
      <w:r w:rsidRPr="003133E0">
        <w:rPr>
          <w:rFonts w:ascii="Times New Roman" w:hAnsi="Times New Roman" w:cs="Times New Roman"/>
        </w:rPr>
        <w:t xml:space="preserve"> and </w:t>
      </w:r>
      <w:proofErr w:type="spellStart"/>
      <w:r w:rsidRPr="003133E0">
        <w:rPr>
          <w:rFonts w:ascii="Times New Roman" w:hAnsi="Times New Roman" w:cs="Times New Roman"/>
          <w:i/>
          <w:iCs/>
        </w:rPr>
        <w:t>Gen_health_state</w:t>
      </w:r>
      <w:proofErr w:type="spellEnd"/>
      <w:r w:rsidRPr="003133E0">
        <w:rPr>
          <w:rFonts w:ascii="Times New Roman" w:hAnsi="Times New Roman" w:cs="Times New Roman"/>
        </w:rPr>
        <w:t xml:space="preserve"> is a concern, an additional strongly restricted BN is estimated with those variables removed entirely from the structure search, producing a three-way comparison: unconstrained, restricted, and strongly restricted.</w:t>
      </w:r>
    </w:p>
    <w:p w14:paraId="7423B52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BIC cost of applying constraints is defined as the percentage change in BIC score between the unconstrained and restricted models:</w:t>
      </w:r>
    </w:p>
    <w:p w14:paraId="18E8748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 cost (%) = ((</w:t>
      </w:r>
      <w:proofErr w:type="spellStart"/>
      <w:r w:rsidRPr="003133E0">
        <w:rPr>
          <w:rFonts w:ascii="Times New Roman" w:hAnsi="Times New Roman" w:cs="Times New Roman"/>
        </w:rPr>
        <w:t>BIC_restricted</w:t>
      </w:r>
      <w:proofErr w:type="spellEnd"/>
      <w:r w:rsidRPr="003133E0">
        <w:rPr>
          <w:rFonts w:ascii="Times New Roman" w:hAnsi="Times New Roman" w:cs="Times New Roman"/>
        </w:rPr>
        <w:t xml:space="preserve">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100</w:t>
      </w:r>
    </w:p>
    <w:p w14:paraId="28CC1CAA" w14:textId="517772EF"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positive value indicates the restricted model achieves a better (higher) BIC score than the unconstrained model </w:t>
      </w:r>
      <w:r>
        <w:rPr>
          <w:rFonts w:ascii="Times New Roman" w:hAnsi="Times New Roman" w:cs="Times New Roman"/>
        </w:rPr>
        <w:t>-</w:t>
      </w:r>
      <w:r w:rsidRPr="003133E0">
        <w:rPr>
          <w:rFonts w:ascii="Times New Roman" w:hAnsi="Times New Roman" w:cs="Times New Roman"/>
        </w:rPr>
        <w:t xml:space="preserve"> a result that occurs when the unconstrained search has overfit to noise via implausible edges. A negative value indicates a fitness cost: the constraints force the algorithm away from statistically preferred structures. Reporting this cost across datasets provides a quantitative </w:t>
      </w:r>
      <w:proofErr w:type="spellStart"/>
      <w:r w:rsidRPr="003133E0">
        <w:rPr>
          <w:rFonts w:ascii="Times New Roman" w:hAnsi="Times New Roman" w:cs="Times New Roman"/>
        </w:rPr>
        <w:t>characterisation</w:t>
      </w:r>
      <w:proofErr w:type="spellEnd"/>
      <w:r w:rsidRPr="003133E0">
        <w:rPr>
          <w:rFonts w:ascii="Times New Roman" w:hAnsi="Times New Roman" w:cs="Times New Roman"/>
        </w:rPr>
        <w:t xml:space="preserve"> of how much the unconstrained algorithm's output conflicts with domain knowledge on each dataset.</w:t>
      </w:r>
    </w:p>
    <w:p w14:paraId="5D20EEB4" w14:textId="77777777" w:rsidR="003133E0" w:rsidRPr="003133E0" w:rsidRDefault="003133E0" w:rsidP="003133E0">
      <w:pPr>
        <w:spacing w:after="0" w:line="360" w:lineRule="auto"/>
        <w:rPr>
          <w:rFonts w:ascii="Times New Roman" w:hAnsi="Times New Roman" w:cs="Times New Roman"/>
          <w:b/>
          <w:bCs/>
          <w:sz w:val="28"/>
          <w:szCs w:val="28"/>
        </w:rPr>
      </w:pPr>
    </w:p>
    <w:p w14:paraId="39747EA0"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3.5.4 Parameter Estimation</w:t>
      </w:r>
    </w:p>
    <w:p w14:paraId="452A83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Conditional probability tables are estimated using the </w:t>
      </w:r>
      <w:proofErr w:type="spellStart"/>
      <w:r w:rsidRPr="003133E0">
        <w:rPr>
          <w:rFonts w:ascii="Times New Roman" w:hAnsi="Times New Roman" w:cs="Times New Roman"/>
        </w:rPr>
        <w:t>BayesianEstimator</w:t>
      </w:r>
      <w:proofErr w:type="spellEnd"/>
      <w:r w:rsidRPr="003133E0">
        <w:rPr>
          <w:rFonts w:ascii="Times New Roman" w:hAnsi="Times New Roman" w:cs="Times New Roman"/>
        </w:rPr>
        <w:t xml:space="preserve"> with a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(Bayesian Dirichlet equivalent uniform) prior.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assigns a uniform prior over the parameters of each CPT, distributed equally across all parent configurations, with the total prior weight controlled by the equivalent sample size hyperparameter. An equivalent sample size of 10 is used throughout, which provides mild smoothing of sparse cells without substantially distorting CPTs that are well-</w:t>
      </w:r>
      <w:r w:rsidRPr="003133E0">
        <w:rPr>
          <w:rFonts w:ascii="Times New Roman" w:hAnsi="Times New Roman" w:cs="Times New Roman"/>
        </w:rPr>
        <w:lastRenderedPageBreak/>
        <w:t>supported by data. This is particularly important for the MH Tech and WHR Gallup datasets, where some combinations of parent states have few observations in the sample.</w:t>
      </w:r>
    </w:p>
    <w:p w14:paraId="0B14506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3.5.5 Inference and Prediction</w:t>
      </w:r>
    </w:p>
    <w:p w14:paraId="255E2EF4"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Probabilistic inference is performed using Variable Elimination (VE). VE is an exact inference algorithm that computes the posterior distribution of a query variable given observed evidence by systematically eliminating non-query, non-evidence variables through </w:t>
      </w:r>
      <w:proofErr w:type="spellStart"/>
      <w:r w:rsidRPr="003133E0">
        <w:rPr>
          <w:rFonts w:ascii="Times New Roman" w:hAnsi="Times New Roman" w:cs="Times New Roman"/>
        </w:rPr>
        <w:t>marginalisation</w:t>
      </w:r>
      <w:proofErr w:type="spellEnd"/>
      <w:r w:rsidRPr="003133E0">
        <w:rPr>
          <w:rFonts w:ascii="Times New Roman" w:hAnsi="Times New Roman" w:cs="Times New Roman"/>
        </w:rPr>
        <w:t>. For a query variable with evidence e, VE returns the full conditional distribution P(target | e), from which the most probable state (for classification) or the expected value computed from bin midpoints (for regression) is used as the point prediction.</w:t>
      </w:r>
    </w:p>
    <w:p w14:paraId="293C19D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For regression targets that have been quantile-</w:t>
      </w:r>
      <w:proofErr w:type="spellStart"/>
      <w:r w:rsidRPr="003133E0">
        <w:rPr>
          <w:rFonts w:ascii="Times New Roman" w:hAnsi="Times New Roman" w:cs="Times New Roman"/>
        </w:rPr>
        <w:t>discretised</w:t>
      </w:r>
      <w:proofErr w:type="spellEnd"/>
      <w:r w:rsidRPr="003133E0">
        <w:rPr>
          <w:rFonts w:ascii="Times New Roman" w:hAnsi="Times New Roman" w:cs="Times New Roman"/>
        </w:rPr>
        <w:t xml:space="preserve"> into bins, the expected value prediction is:</w:t>
      </w:r>
    </w:p>
    <w:p w14:paraId="01B70BD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Ê[target | e] = </w:t>
      </w:r>
      <w:proofErr w:type="spellStart"/>
      <w:r w:rsidRPr="003133E0">
        <w:rPr>
          <w:rFonts w:ascii="Times New Roman" w:hAnsi="Times New Roman" w:cs="Times New Roman"/>
        </w:rPr>
        <w:t>Σ_i</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 P(target = </w:t>
      </w:r>
      <w:proofErr w:type="spellStart"/>
      <w:r w:rsidRPr="003133E0">
        <w:rPr>
          <w:rFonts w:ascii="Times New Roman" w:hAnsi="Times New Roman" w:cs="Times New Roman"/>
        </w:rPr>
        <w:t>bin_i</w:t>
      </w:r>
      <w:proofErr w:type="spellEnd"/>
      <w:r w:rsidRPr="003133E0">
        <w:rPr>
          <w:rFonts w:ascii="Times New Roman" w:hAnsi="Times New Roman" w:cs="Times New Roman"/>
        </w:rPr>
        <w:t xml:space="preserve"> | e)</w:t>
      </w:r>
    </w:p>
    <w:p w14:paraId="664F0C2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where the sum is taken over all bins and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is the midpoint of the original continuous range corresponding to that bin. This converts the BN's categorical posterior into a scalar prediction that can be evaluated using standard regression metrics.</w:t>
      </w:r>
    </w:p>
    <w:p w14:paraId="59908980" w14:textId="77777777" w:rsidR="003133E0" w:rsidRPr="00C60781" w:rsidRDefault="003133E0" w:rsidP="00C60781">
      <w:pPr>
        <w:spacing w:after="0" w:line="360" w:lineRule="auto"/>
        <w:rPr>
          <w:rFonts w:ascii="Times New Roman" w:hAnsi="Times New Roman" w:cs="Times New Roman"/>
          <w:b/>
          <w:bCs/>
          <w:sz w:val="28"/>
          <w:szCs w:val="28"/>
        </w:rPr>
      </w:pPr>
    </w:p>
    <w:p w14:paraId="6ED5ED77" w14:textId="77777777" w:rsidR="00C60781" w:rsidRDefault="00C60781" w:rsidP="00C60781">
      <w:pPr>
        <w:spacing w:after="0" w:line="360" w:lineRule="auto"/>
        <w:jc w:val="both"/>
        <w:rPr>
          <w:rFonts w:ascii="Times New Roman" w:hAnsi="Times New Roman" w:cs="Times New Roman"/>
        </w:rPr>
      </w:pPr>
    </w:p>
    <w:p w14:paraId="50637B24" w14:textId="77777777" w:rsidR="00C60781" w:rsidRDefault="00C60781" w:rsidP="00C60781">
      <w:pPr>
        <w:spacing w:after="0" w:line="360" w:lineRule="auto"/>
        <w:jc w:val="both"/>
        <w:rPr>
          <w:rFonts w:ascii="Times New Roman" w:hAnsi="Times New Roman" w:cs="Times New Roman"/>
        </w:rPr>
      </w:pPr>
    </w:p>
    <w:p w14:paraId="7CF1AAE4" w14:textId="77777777" w:rsidR="00C60781" w:rsidRDefault="00C60781" w:rsidP="00C60781">
      <w:pPr>
        <w:spacing w:after="0" w:line="360" w:lineRule="auto"/>
        <w:jc w:val="both"/>
        <w:rPr>
          <w:rFonts w:ascii="Times New Roman" w:hAnsi="Times New Roman" w:cs="Times New Roman"/>
        </w:rPr>
      </w:pPr>
    </w:p>
    <w:p w14:paraId="54718D7C" w14:textId="77777777" w:rsidR="00C60781" w:rsidRDefault="00C60781" w:rsidP="00C60781">
      <w:pPr>
        <w:spacing w:after="0" w:line="360" w:lineRule="auto"/>
        <w:jc w:val="both"/>
        <w:rPr>
          <w:rFonts w:ascii="Times New Roman" w:hAnsi="Times New Roman" w:cs="Times New Roman"/>
        </w:rPr>
      </w:pPr>
    </w:p>
    <w:p w14:paraId="765693D0" w14:textId="77777777" w:rsidR="00C60781" w:rsidRDefault="00C60781" w:rsidP="00C60781">
      <w:pPr>
        <w:spacing w:after="0" w:line="360" w:lineRule="auto"/>
        <w:jc w:val="both"/>
        <w:rPr>
          <w:rFonts w:ascii="Times New Roman" w:hAnsi="Times New Roman" w:cs="Times New Roman"/>
        </w:rPr>
      </w:pPr>
    </w:p>
    <w:p w14:paraId="09A81FEC" w14:textId="77777777" w:rsidR="00C60781" w:rsidRDefault="00C60781" w:rsidP="00C60781">
      <w:pPr>
        <w:spacing w:after="0" w:line="360" w:lineRule="auto"/>
        <w:jc w:val="both"/>
        <w:rPr>
          <w:rFonts w:ascii="Times New Roman" w:hAnsi="Times New Roman" w:cs="Times New Roman"/>
        </w:rPr>
      </w:pPr>
    </w:p>
    <w:p w14:paraId="73FCE163" w14:textId="77777777" w:rsidR="00C60781" w:rsidRDefault="00C60781" w:rsidP="00C60781">
      <w:pPr>
        <w:spacing w:after="0" w:line="360" w:lineRule="auto"/>
        <w:jc w:val="both"/>
        <w:rPr>
          <w:rFonts w:ascii="Times New Roman" w:hAnsi="Times New Roman" w:cs="Times New Roman"/>
        </w:rPr>
      </w:pPr>
    </w:p>
    <w:p w14:paraId="3938E363" w14:textId="77777777" w:rsidR="00C60781" w:rsidRDefault="00C60781" w:rsidP="00C60781">
      <w:pPr>
        <w:spacing w:after="0" w:line="360" w:lineRule="auto"/>
        <w:jc w:val="both"/>
        <w:rPr>
          <w:rFonts w:ascii="Times New Roman" w:hAnsi="Times New Roman" w:cs="Times New Roman"/>
        </w:rPr>
      </w:pPr>
    </w:p>
    <w:p w14:paraId="56D50847" w14:textId="77777777" w:rsidR="00C60781" w:rsidRDefault="00C60781" w:rsidP="00C60781">
      <w:pPr>
        <w:spacing w:after="0" w:line="360" w:lineRule="auto"/>
        <w:jc w:val="both"/>
        <w:rPr>
          <w:rFonts w:ascii="Times New Roman" w:hAnsi="Times New Roman" w:cs="Times New Roman"/>
        </w:rPr>
      </w:pPr>
    </w:p>
    <w:p w14:paraId="5F57BC21" w14:textId="77777777" w:rsidR="00C60781" w:rsidRDefault="00C60781" w:rsidP="00C60781">
      <w:pPr>
        <w:spacing w:after="0" w:line="360" w:lineRule="auto"/>
        <w:jc w:val="both"/>
        <w:rPr>
          <w:rFonts w:ascii="Times New Roman" w:hAnsi="Times New Roman" w:cs="Times New Roman"/>
        </w:rPr>
      </w:pPr>
    </w:p>
    <w:p w14:paraId="7C14BEEF" w14:textId="77777777" w:rsidR="00C60781" w:rsidRDefault="00C60781" w:rsidP="00C60781">
      <w:pPr>
        <w:spacing w:after="0" w:line="360" w:lineRule="auto"/>
        <w:jc w:val="both"/>
        <w:rPr>
          <w:rFonts w:ascii="Times New Roman" w:hAnsi="Times New Roman" w:cs="Times New Roman"/>
        </w:rPr>
      </w:pPr>
    </w:p>
    <w:p w14:paraId="35FDC04B" w14:textId="77777777" w:rsidR="00C60781" w:rsidRDefault="00C60781" w:rsidP="00C60781">
      <w:pPr>
        <w:spacing w:after="0" w:line="360" w:lineRule="auto"/>
        <w:jc w:val="both"/>
        <w:rPr>
          <w:rFonts w:ascii="Times New Roman" w:hAnsi="Times New Roman" w:cs="Times New Roman"/>
        </w:rPr>
      </w:pPr>
    </w:p>
    <w:p w14:paraId="7F676D7B" w14:textId="77777777" w:rsidR="00C60781" w:rsidRDefault="00C60781" w:rsidP="00C60781">
      <w:pPr>
        <w:spacing w:after="0" w:line="360" w:lineRule="auto"/>
        <w:jc w:val="both"/>
        <w:rPr>
          <w:rFonts w:ascii="Times New Roman" w:hAnsi="Times New Roman" w:cs="Times New Roman"/>
        </w:rPr>
      </w:pPr>
    </w:p>
    <w:p w14:paraId="583C2E62" w14:textId="77777777" w:rsidR="00C60781" w:rsidRDefault="00C60781" w:rsidP="00C60781">
      <w:pPr>
        <w:spacing w:after="0" w:line="360" w:lineRule="auto"/>
        <w:jc w:val="both"/>
        <w:rPr>
          <w:rFonts w:ascii="Times New Roman" w:hAnsi="Times New Roman" w:cs="Times New Roman"/>
        </w:rPr>
      </w:pPr>
    </w:p>
    <w:p w14:paraId="14092870" w14:textId="77777777" w:rsidR="00C60781" w:rsidRDefault="00C60781" w:rsidP="00C60781">
      <w:pPr>
        <w:spacing w:after="0" w:line="360" w:lineRule="auto"/>
        <w:jc w:val="both"/>
        <w:rPr>
          <w:rFonts w:ascii="Times New Roman" w:hAnsi="Times New Roman" w:cs="Times New Roman"/>
        </w:rPr>
      </w:pP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1833E55B" w14:textId="77777777" w:rsidR="00C60781" w:rsidRDefault="00C60781" w:rsidP="00C60781">
      <w:pPr>
        <w:spacing w:after="0" w:line="360" w:lineRule="auto"/>
        <w:jc w:val="both"/>
        <w:rPr>
          <w:rFonts w:ascii="Times New Roman" w:hAnsi="Times New Roman" w:cs="Times New Roman"/>
        </w:rPr>
      </w:pPr>
    </w:p>
    <w:p w14:paraId="0BA79D85" w14:textId="77777777" w:rsidR="00C60781" w:rsidRDefault="00C60781" w:rsidP="00C60781">
      <w:pPr>
        <w:spacing w:after="0" w:line="360" w:lineRule="auto"/>
        <w:jc w:val="both"/>
        <w:rPr>
          <w:rFonts w:ascii="Times New Roman" w:hAnsi="Times New Roman" w:cs="Times New Roman"/>
        </w:rPr>
      </w:pPr>
    </w:p>
    <w:p w14:paraId="5472364F" w14:textId="77777777" w:rsidR="00C60781" w:rsidRDefault="00C60781" w:rsidP="00C60781">
      <w:pPr>
        <w:spacing w:after="0" w:line="360" w:lineRule="auto"/>
        <w:jc w:val="both"/>
        <w:rPr>
          <w:rFonts w:ascii="Times New Roman" w:hAnsi="Times New Roman" w:cs="Times New Roman"/>
        </w:rPr>
      </w:pPr>
    </w:p>
    <w:p w14:paraId="06C6B5AE" w14:textId="77777777" w:rsidR="00C60781" w:rsidRDefault="00C60781" w:rsidP="00C60781">
      <w:pPr>
        <w:spacing w:after="0" w:line="360" w:lineRule="auto"/>
        <w:jc w:val="both"/>
        <w:rPr>
          <w:rFonts w:ascii="Times New Roman" w:hAnsi="Times New Roman" w:cs="Times New Roman"/>
        </w:rPr>
      </w:pPr>
    </w:p>
    <w:p w14:paraId="4996E47F" w14:textId="77777777" w:rsidR="00C60781" w:rsidRDefault="00C60781" w:rsidP="00C60781">
      <w:pPr>
        <w:spacing w:after="0" w:line="360" w:lineRule="auto"/>
        <w:jc w:val="both"/>
        <w:rPr>
          <w:rFonts w:ascii="Times New Roman" w:hAnsi="Times New Roman" w:cs="Times New Roman"/>
        </w:rPr>
      </w:pPr>
    </w:p>
    <w:p w14:paraId="7E1645AA" w14:textId="77777777" w:rsidR="00C60781" w:rsidRDefault="00C60781" w:rsidP="00C60781">
      <w:pPr>
        <w:spacing w:after="0" w:line="360" w:lineRule="auto"/>
        <w:jc w:val="both"/>
        <w:rPr>
          <w:rFonts w:ascii="Times New Roman" w:hAnsi="Times New Roman" w:cs="Times New Roman"/>
        </w:rPr>
      </w:pPr>
    </w:p>
    <w:p w14:paraId="1AE4E1CD" w14:textId="77777777" w:rsidR="00C60781" w:rsidRDefault="00C60781" w:rsidP="00C60781">
      <w:pPr>
        <w:spacing w:after="0" w:line="360" w:lineRule="auto"/>
        <w:jc w:val="both"/>
        <w:rPr>
          <w:rFonts w:ascii="Times New Roman" w:hAnsi="Times New Roman" w:cs="Times New Roman"/>
        </w:rPr>
      </w:pPr>
    </w:p>
    <w:p w14:paraId="65EF3E50" w14:textId="77777777" w:rsidR="00C60781" w:rsidRDefault="00C60781" w:rsidP="00C60781">
      <w:pPr>
        <w:spacing w:after="0" w:line="360" w:lineRule="auto"/>
        <w:jc w:val="both"/>
        <w:rPr>
          <w:rFonts w:ascii="Times New Roman" w:hAnsi="Times New Roman" w:cs="Times New Roman"/>
        </w:rPr>
      </w:pPr>
    </w:p>
    <w:p w14:paraId="6B90355E" w14:textId="0FEB0F8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References</w:t>
      </w:r>
    </w:p>
    <w:p w14:paraId="16FCF0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[Breiman2001] </w:t>
      </w:r>
      <w:proofErr w:type="spellStart"/>
      <w:r w:rsidRPr="00C60781">
        <w:rPr>
          <w:rFonts w:ascii="Times New Roman" w:hAnsi="Times New Roman" w:cs="Times New Roman"/>
        </w:rPr>
        <w:t>Breiman</w:t>
      </w:r>
      <w:proofErr w:type="spellEnd"/>
      <w:r w:rsidRPr="00C60781">
        <w:rPr>
          <w:rFonts w:ascii="Times New Roman" w:hAnsi="Times New Roman" w:cs="Times New Roman"/>
        </w:rPr>
        <w:t>, L.: Statistical modeling: The two cultures, Statistical Science, 16(3) (2001), 199–231.</w:t>
      </w:r>
    </w:p>
    <w:p w14:paraId="00901D06"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[Lundberg2017] Lundberg, S.M., Lee, S.-I.: A unified approach to interpreting model predictions, Advances in Neural Information Processing Systems (NIPS 2017), 30 (2017), 4765–4774.</w:t>
      </w:r>
    </w:p>
    <w:p w14:paraId="33B62DAC"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[Molnar2019] Molnar, C.: Interpretable Machine Learning: A Guide for Making Black Box Models Explainable, </w:t>
      </w:r>
      <w:proofErr w:type="spellStart"/>
      <w:r w:rsidRPr="00C60781">
        <w:rPr>
          <w:rFonts w:ascii="Times New Roman" w:hAnsi="Times New Roman" w:cs="Times New Roman"/>
        </w:rPr>
        <w:t>Leanpub</w:t>
      </w:r>
      <w:proofErr w:type="spellEnd"/>
      <w:r w:rsidRPr="00C60781">
        <w:rPr>
          <w:rFonts w:ascii="Times New Roman" w:hAnsi="Times New Roman" w:cs="Times New Roman"/>
        </w:rPr>
        <w:t>, 2019.</w:t>
      </w:r>
    </w:p>
    <w:p w14:paraId="6F02E5B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[OECD2020]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for Economic Co-operation and Development: Measuring well-being and progress, OECD Publishing, Paris, 2020, </w:t>
      </w:r>
      <w:hyperlink r:id="rId7" w:history="1">
        <w:r w:rsidRPr="00C60781">
          <w:rPr>
            <w:rStyle w:val="Hyperlink"/>
            <w:rFonts w:ascii="Times New Roman" w:hAnsi="Times New Roman" w:cs="Times New Roman"/>
          </w:rPr>
          <w:t>https://www.oecd.org/en/topics/measuring-well-being-and-progress.html</w:t>
        </w:r>
      </w:hyperlink>
    </w:p>
    <w:p w14:paraId="5D32A435"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[Pavot1993] Pavot, W., Diener, E.: Review of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Psychological Assessment, 5(2) (1993), 164–172.</w:t>
      </w:r>
    </w:p>
    <w:p w14:paraId="7AD272D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[Pearl2009] Pearl, J.: Causality: Models, Reasoning, and Inference, 2nd ed., Cambridge University Press, Cambridge, 2009.</w:t>
      </w:r>
    </w:p>
    <w:p w14:paraId="768DCB3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[Scutari2014] Scutari, M., Denis, J.-B.: Bayesian Networks: With Examples in R, Chapman &amp; Hall/CRC, Boca Raton, 2014.</w:t>
      </w:r>
    </w:p>
    <w:p w14:paraId="38BB22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lastRenderedPageBreak/>
        <w:t xml:space="preserve">[Shmueli2010] Shmueli, G.: To explain or to </w:t>
      </w:r>
      <w:proofErr w:type="gramStart"/>
      <w:r w:rsidRPr="00C60781">
        <w:rPr>
          <w:rFonts w:ascii="Times New Roman" w:hAnsi="Times New Roman" w:cs="Times New Roman"/>
        </w:rPr>
        <w:t>predict?,</w:t>
      </w:r>
      <w:proofErr w:type="gramEnd"/>
      <w:r w:rsidRPr="00C60781">
        <w:rPr>
          <w:rFonts w:ascii="Times New Roman" w:hAnsi="Times New Roman" w:cs="Times New Roman"/>
        </w:rPr>
        <w:t xml:space="preserve"> Statistical Science, 25(3) (2010), 289–310.</w:t>
      </w:r>
    </w:p>
    <w:p w14:paraId="7E144C6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[Yarkoni2017] Yarkoni, T., Westfall, J.: Choosing prediction over explanation in psychology: Lessons from machine learning, Perspectives on Psychological Science, 12(6) (2017), 1100–1122.</w:t>
      </w:r>
    </w:p>
    <w:p w14:paraId="6BC4665B"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[Hastie2009] Hastie, T.,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R., Friedman, J.: The Elements of Statistical Learning, 2nd ed., Springer, 2009.</w:t>
      </w:r>
    </w:p>
    <w:p w14:paraId="6897A7F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[Kuhn2013] Kuhn, M., Johnson, K.: Applied Predictive Modeling, Springer, 2013.</w:t>
      </w:r>
    </w:p>
    <w:p w14:paraId="1D13B920"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[Helliwell2023] Helliwell, J.F., Layard, R., Sachs, J.D., De Neve, J.-E.: World Happiness Report 2023, Sustainable Development Solutions Network.</w:t>
      </w:r>
    </w:p>
    <w:p w14:paraId="18B1C6E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[Diener1984] Diener, E.: Subjective well-being, Psychological Bulletin, 95(3) (1984), 542–575.</w:t>
      </w:r>
    </w:p>
    <w:p w14:paraId="77289AA7"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[Friedman2001] Friedman, J.H.: Greedy function approximation: A gradient boosting machine, Annals of Statistics, 29(5) (2001), 1189–1232.</w:t>
      </w:r>
    </w:p>
    <w:p w14:paraId="6BC1F9D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[Goldstein2015] Goldstein, A., </w:t>
      </w:r>
      <w:proofErr w:type="spellStart"/>
      <w:r w:rsidRPr="00C60781">
        <w:rPr>
          <w:rFonts w:ascii="Times New Roman" w:hAnsi="Times New Roman" w:cs="Times New Roman"/>
        </w:rPr>
        <w:t>Kapelner</w:t>
      </w:r>
      <w:proofErr w:type="spellEnd"/>
      <w:r w:rsidRPr="00C60781">
        <w:rPr>
          <w:rFonts w:ascii="Times New Roman" w:hAnsi="Times New Roman" w:cs="Times New Roman"/>
        </w:rPr>
        <w:t>, A., Bleich, J., Pitkin, E.: Peeking inside the black box: Visualizing statistical learning with plots of individual conditional expectation, Journal of Computational and Graphical Statistics, 2015.</w:t>
      </w:r>
    </w:p>
    <w:p w14:paraId="0B9AB3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[Morgan2015] Morgan, S.L., Winship, C.: Counterfactuals and Causal Inference, 2nd ed., Cambridge University Press, 2015.</w:t>
      </w:r>
    </w:p>
    <w:p w14:paraId="6D262157" w14:textId="77777777" w:rsidR="00C60781" w:rsidRPr="00C60781" w:rsidRDefault="00C60781" w:rsidP="00C60781">
      <w:pPr>
        <w:spacing w:after="0" w:line="360" w:lineRule="auto"/>
        <w:jc w:val="both"/>
        <w:rPr>
          <w:rFonts w:ascii="Times New Roman" w:hAnsi="Times New Roman" w:cs="Times New Roman"/>
        </w:rPr>
      </w:pPr>
    </w:p>
    <w:p w14:paraId="3E6221E4" w14:textId="77777777" w:rsidR="00F82A0E" w:rsidRDefault="00F82A0E" w:rsidP="00F82A0E">
      <w:pPr>
        <w:spacing w:after="0" w:line="360" w:lineRule="auto"/>
      </w:pPr>
    </w:p>
    <w:sectPr w:rsidR="00F82A0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56469" w14:textId="77777777" w:rsidR="009827B9" w:rsidRDefault="009827B9" w:rsidP="00ED2D56">
      <w:pPr>
        <w:spacing w:after="0" w:line="240" w:lineRule="auto"/>
      </w:pPr>
      <w:r>
        <w:separator/>
      </w:r>
    </w:p>
  </w:endnote>
  <w:endnote w:type="continuationSeparator" w:id="0">
    <w:p w14:paraId="08737972" w14:textId="77777777" w:rsidR="009827B9" w:rsidRDefault="009827B9"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657203"/>
      <w:docPartObj>
        <w:docPartGallery w:val="Page Numbers (Bottom of Page)"/>
        <w:docPartUnique/>
      </w:docPartObj>
    </w:sdtPr>
    <w:sdtEndPr>
      <w:rPr>
        <w:noProof/>
      </w:rPr>
    </w:sdtEndPr>
    <w:sdtContent>
      <w:p w14:paraId="634A90A0" w14:textId="63A52B09" w:rsidR="00ED2D56" w:rsidRDefault="00ED2D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4539A3" w14:textId="77777777" w:rsidR="00ED2D56" w:rsidRDefault="00ED2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67AA0" w14:textId="77777777" w:rsidR="009827B9" w:rsidRDefault="009827B9" w:rsidP="00ED2D56">
      <w:pPr>
        <w:spacing w:after="0" w:line="240" w:lineRule="auto"/>
      </w:pPr>
      <w:r>
        <w:separator/>
      </w:r>
    </w:p>
  </w:footnote>
  <w:footnote w:type="continuationSeparator" w:id="0">
    <w:p w14:paraId="09EE231E" w14:textId="77777777" w:rsidR="009827B9" w:rsidRDefault="009827B9"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16"/>
  </w:num>
  <w:num w:numId="2" w16cid:durableId="960261768">
    <w:abstractNumId w:val="4"/>
  </w:num>
  <w:num w:numId="3" w16cid:durableId="2141149783">
    <w:abstractNumId w:val="10"/>
  </w:num>
  <w:num w:numId="4" w16cid:durableId="921791929">
    <w:abstractNumId w:val="0"/>
  </w:num>
  <w:num w:numId="5" w16cid:durableId="619997698">
    <w:abstractNumId w:val="7"/>
  </w:num>
  <w:num w:numId="6" w16cid:durableId="1208377985">
    <w:abstractNumId w:val="5"/>
  </w:num>
  <w:num w:numId="7" w16cid:durableId="1726835269">
    <w:abstractNumId w:val="9"/>
  </w:num>
  <w:num w:numId="8" w16cid:durableId="1903100000">
    <w:abstractNumId w:val="8"/>
  </w:num>
  <w:num w:numId="9" w16cid:durableId="1607617440">
    <w:abstractNumId w:val="3"/>
  </w:num>
  <w:num w:numId="10" w16cid:durableId="1666742143">
    <w:abstractNumId w:val="2"/>
  </w:num>
  <w:num w:numId="11" w16cid:durableId="1436439445">
    <w:abstractNumId w:val="14"/>
  </w:num>
  <w:num w:numId="12" w16cid:durableId="2077315767">
    <w:abstractNumId w:val="12"/>
  </w:num>
  <w:num w:numId="13" w16cid:durableId="1143887648">
    <w:abstractNumId w:val="19"/>
  </w:num>
  <w:num w:numId="14" w16cid:durableId="1791973172">
    <w:abstractNumId w:val="1"/>
  </w:num>
  <w:num w:numId="15" w16cid:durableId="1560286927">
    <w:abstractNumId w:val="18"/>
  </w:num>
  <w:num w:numId="16" w16cid:durableId="1309630582">
    <w:abstractNumId w:val="6"/>
  </w:num>
  <w:num w:numId="17" w16cid:durableId="1630470238">
    <w:abstractNumId w:val="17"/>
  </w:num>
  <w:num w:numId="18" w16cid:durableId="1818263234">
    <w:abstractNumId w:val="11"/>
  </w:num>
  <w:num w:numId="19" w16cid:durableId="1729954925">
    <w:abstractNumId w:val="13"/>
  </w:num>
  <w:num w:numId="20" w16cid:durableId="12322360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84AAA"/>
    <w:rsid w:val="001970EA"/>
    <w:rsid w:val="00257E51"/>
    <w:rsid w:val="0028027A"/>
    <w:rsid w:val="002E235F"/>
    <w:rsid w:val="003133E0"/>
    <w:rsid w:val="00323142"/>
    <w:rsid w:val="00396FFF"/>
    <w:rsid w:val="003A3901"/>
    <w:rsid w:val="003A671B"/>
    <w:rsid w:val="00424974"/>
    <w:rsid w:val="004D3BA7"/>
    <w:rsid w:val="005647E2"/>
    <w:rsid w:val="007202FA"/>
    <w:rsid w:val="007C59A2"/>
    <w:rsid w:val="0086269D"/>
    <w:rsid w:val="008660A1"/>
    <w:rsid w:val="009827B9"/>
    <w:rsid w:val="00A656AE"/>
    <w:rsid w:val="00B30477"/>
    <w:rsid w:val="00B31404"/>
    <w:rsid w:val="00B6600E"/>
    <w:rsid w:val="00C11133"/>
    <w:rsid w:val="00C60781"/>
    <w:rsid w:val="00D11D19"/>
    <w:rsid w:val="00D8004F"/>
    <w:rsid w:val="00DF3D43"/>
    <w:rsid w:val="00ED2D56"/>
    <w:rsid w:val="00F36940"/>
    <w:rsid w:val="00F82A0E"/>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ecd.org/en/topics/measuring-well-being-and-progres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23</Pages>
  <Words>6812</Words>
  <Characters>38832</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7</cp:revision>
  <cp:lastPrinted>2026-05-10T13:51:00Z</cp:lastPrinted>
  <dcterms:created xsi:type="dcterms:W3CDTF">2026-05-10T12:11:00Z</dcterms:created>
  <dcterms:modified xsi:type="dcterms:W3CDTF">2026-05-27T11:18:00Z</dcterms:modified>
</cp:coreProperties>
</file>