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  <Relationship Id="rId4" Type="http://schemas.openxmlformats.org/officeDocument/2006/relationships/custom-properties" Target="docProps/custom.xml" 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">
  <w:body>
    <w:p w14:paraId="00000001">
      <w:pPr>
        <w:rPr/>
        <w:jc w:val="center"/>
      </w:pPr>
      <w:r>
        <w:rPr>
          <w:sz w:val="36"/>
          <w:szCs w:val="36"/>
          <w:color w:val="E74C3C"/>
          <w:b/>
          <w:bCs/>
        </w:rPr>
        <w:t xml:space="preserve">Low-Level Design</w:t>
      </w:r>
    </w:p>
    <w:p w14:paraId="00000002">
      <w:pPr>
        <w:rPr/>
        <w:jc w:val="center"/>
      </w:pPr>
      <w:r>
        <w:rPr>
          <w:sz w:val="24"/>
          <w:szCs w:val="24"/>
          <w:b/>
          <w:bCs/>
        </w:rPr>
        <w:t xml:space="preserve">Technical Implementation Details</w:t>
      </w:r>
    </w:p>
    <w:p w14:paraId="00000003">
      <w:pPr>
        <w:rPr/>
        <w:jc w:val="center"/>
      </w:pPr>
      <w:r>
        <w:rPr>
          <w:sz w:val="14"/>
          <w:szCs w:val="14"/>
          <w:i/>
          <w:iCs/>
        </w:rPr>
        <w:t xml:space="preserve">Generated: August 27, 2025</w:t>
      </w:r>
    </w:p>
    <w:p w14:paraId="00000004">
      <w:pPr>
        <w:rPr/>
      </w:pPr>
      <w:r>
        <w:rPr/>
        <w:br w:type="page"/>
      </w:r>
    </w:p>
    <w:p w14:paraId="00000005">
      <w:pPr>
        <w:rPr/>
      </w:pPr>
      <w:r>
        <w:rPr>
          <w:sz w:val="20"/>
          <w:szCs w:val="20"/>
          <w:color w:val="E74C3C"/>
          <w:b/>
          <w:bCs/>
        </w:rPr>
        <w:t xml:space="preserve">Server Configuration Details</w:t>
      </w:r>
    </w:p>
    <w:tbl>
      <w:tblPr>
        <w:tblW w:w="0" w:type="dxa"/>
        <w:jc w:val="lef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</w:tblPr>
      <w:tblGrid/>
      <w:tr>
        <w:trPr/>
        <w:tc>
          <w:tcPr/>
          <w:p w14:paraId="00000006">
            <w:pPr>
              <w:rPr/>
            </w:pPr>
            <w:r>
              <w:rPr>
                <w:b/>
                <w:bCs/>
              </w:rPr>
              <w:t xml:space="preserve">Server Role</w:t>
            </w:r>
          </w:p>
        </w:tc>
        <w:tc>
          <w:tcPr/>
          <w:p w14:paraId="00000007">
            <w:pPr>
              <w:rPr/>
            </w:pPr>
            <w:r>
              <w:rPr>
                <w:b/>
                <w:bCs/>
              </w:rPr>
              <w:t xml:space="preserve">Quantity</w:t>
            </w:r>
          </w:p>
        </w:tc>
        <w:tc>
          <w:tcPr/>
          <w:p w14:paraId="00000008">
            <w:pPr>
              <w:rPr/>
            </w:pPr>
            <w:r>
              <w:rPr>
                <w:b/>
                <w:bCs/>
              </w:rPr>
              <w:t xml:space="preserve">vCPU per Host</w:t>
            </w:r>
          </w:p>
        </w:tc>
        <w:tc>
          <w:tcPr/>
          <w:p w14:paraId="00000009">
            <w:pPr>
              <w:rPr/>
            </w:pPr>
            <w:r>
              <w:rPr>
                <w:b/>
                <w:bCs/>
              </w:rPr>
              <w:t xml:space="preserve">Memory per Host (GB)</w:t>
            </w:r>
          </w:p>
        </w:tc>
      </w:tr>
      <w:tr>
        <w:trPr/>
        <w:tc>
          <w:tcPr/>
          <w:p w14:paraId="0000000a">
            <w:pPr>
              <w:rPr/>
            </w:pPr>
            <w:r>
              <w:rPr/>
              <w:t xml:space="preserve">Compute Hosts</w:t>
            </w:r>
          </w:p>
        </w:tc>
        <w:tc>
          <w:tcPr/>
          <w:p w14:paraId="0000000b">
            <w:pPr>
              <w:rPr/>
            </w:pPr>
            <w:r>
              <w:rPr/>
              <w:t xml:space="preserve">4</w:t>
            </w:r>
          </w:p>
        </w:tc>
        <w:tc>
          <w:tcPr/>
          <w:p w14:paraId="0000000c">
            <w:pPr>
              <w:rPr/>
            </w:pPr>
            <w:r>
              <w:rPr/>
              <w:t xml:space="preserve">64</w:t>
            </w:r>
          </w:p>
        </w:tc>
        <w:tc>
          <w:tcPr/>
          <w:p w14:paraId="0000000d">
            <w:pPr>
              <w:rPr/>
            </w:pPr>
            <w:r>
              <w:rPr/>
              <w:t xml:space="preserve">256</w:t>
            </w:r>
          </w:p>
        </w:tc>
      </w:tr>
    </w:tbl>
    <w:p w14:paraId="0000000e">
      <w:pPr>
        <w:rPr/>
      </w:pPr>
      <w:r>
        <w:rPr/>
        <w:br w:type="page"/>
      </w:r>
    </w:p>
    <w:p w14:paraId="0000000f">
      <w:pPr>
        <w:rPr/>
      </w:pPr>
      <w:r>
        <w:rPr>
          <w:sz w:val="20"/>
          <w:szCs w:val="20"/>
          <w:color w:val="E74C3C"/>
          <w:b/>
          <w:bCs/>
        </w:rPr>
        <w:t xml:space="preserve">Network Configuration</w:t>
      </w:r>
    </w:p>
    <w:p w14:paraId="00000010">
      <w:pPr>
        <w:rPr/>
      </w:pPr>
      <w:r>
        <w:rPr/>
        <w:t xml:space="preserve">The network infrastructure supports high-performance connectivity with redundancy and security. Configuration includes management networks, VM networks, and storage networks with appropriate VLAN segmentation.</w:t>
      </w:r>
    </w:p>
    <w:sectPr>
      <w:pgSz w:w="11906" w:h="16838"/>
      <w:pgMar w:top="1985" w:right="1701" w:bottom="1701" w:left="1701" w:header="851" w:footer="992" w:gutter="0"/>
      <w:cols w:space="425" w:num="1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/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numbering.xml><?xml version="1.0" encoding="utf-8"?>
<w:numbering xmlns:r="http://schemas.openxmlformats.org/officeDocument/2006/relationships" xmlns:o="urn:schemas-microsoft-com:office:office" xmlns:v="urn:schemas-microsoft-com:vml"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rPr/>
        <w:ind w:left="420" w:right="0" w:hanging="420"/>
      </w:pPr>
      <w:rPr/>
    </w:lvl>
    <w:lvl w:ilvl="1">
      <w:start w:val="1"/>
      <w:numFmt w:val="decimal"/>
      <w:lvlText w:val="(%2)"/>
      <w:lvlJc w:val="left"/>
      <w:pPr>
        <w:rPr/>
        <w:ind w:left="840" w:right="0" w:hanging="420"/>
      </w:pPr>
      <w:rPr/>
    </w:lvl>
    <w:lvl w:ilvl="2">
      <w:start w:val="1"/>
      <w:numFmt w:val="decimalEnclosedCircle"/>
      <w:lvlText w:val="%3"/>
      <w:lvlJc w:val="left"/>
      <w:pPr>
        <w:rPr/>
        <w:ind w:left="1260" w:right="0" w:hanging="420"/>
      </w:pPr>
      <w:rPr/>
    </w:lvl>
    <w:lvl w:ilvl="3">
      <w:start w:val="1"/>
      <w:numFmt w:val="decimal"/>
      <w:lvlText w:val="%4."/>
      <w:lvlJc w:val="left"/>
      <w:pPr>
        <w:rPr/>
        <w:ind w:left="1680" w:right="0" w:hanging="420"/>
      </w:pPr>
      <w:rPr/>
    </w:lvl>
    <w:lvl w:ilvl="4">
      <w:start w:val="1"/>
      <w:numFmt w:val="decimal"/>
      <w:lvlText w:val="(%5)"/>
      <w:lvlJc w:val="left"/>
      <w:pPr>
        <w:rPr/>
        <w:ind w:left="2100" w:right="0" w:hanging="420"/>
      </w:pPr>
      <w:rPr/>
    </w:lvl>
    <w:lvl w:ilvl="5">
      <w:start w:val="1"/>
      <w:numFmt w:val="decimalEnclosedCircle"/>
      <w:lvlText w:val="%6"/>
      <w:lvlJc w:val="left"/>
      <w:pPr>
        <w:rPr/>
        <w:ind w:left="2520" w:right="0" w:hanging="420"/>
      </w:pPr>
      <w:rPr/>
    </w:lvl>
    <w:lvl w:ilvl="6">
      <w:start w:val="1"/>
      <w:numFmt w:val="decimal"/>
      <w:lvlText w:val="%7."/>
      <w:lvlJc w:val="left"/>
      <w:pPr>
        <w:rPr/>
        <w:ind w:left="2940" w:right="0" w:hanging="420"/>
      </w:pPr>
      <w:rPr/>
    </w:lvl>
    <w:lvl w:ilvl="7">
      <w:start w:val="1"/>
      <w:numFmt w:val="decimal"/>
      <w:lvlText w:val="(%8)"/>
      <w:lvlJc w:val="left"/>
      <w:pPr>
        <w:rPr/>
        <w:ind w:left="3360" w:right="0" w:hanging="420"/>
      </w:pPr>
      <w:rPr/>
    </w:lvl>
    <w:lvl w:ilvl="8">
      <w:start w:val="1"/>
      <w:numFmt w:val="decimalEnclosedCircle"/>
      <w:lvlText w:val="%9"/>
      <w:lvlJc w:val="left"/>
      <w:pPr>
        <w:rPr/>
        <w:ind w:left="3780" w:right="0" w:hanging="42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>
  <w:defaultTabStop w:val="840"/>
  <w:zoom w:percent="100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/>
    </w:rPrDefault>
    <w:pPrDefault>
      <w:pPr>
        <w:rPr/>
      </w:pPr>
    </w:pPrDefault>
  </w:docDefaults>
  <w:style w:type="paragraph" w:styleId="Normal">
    <w:name w:val="Normal"/>
    <w:rPr/>
    <w:pPr>
      <w:rPr/>
    </w:pPr>
    <w:qFormat/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fontTable" Target="fontTable.xml" />
  <Relationship Id="rId3" Type="http://schemas.openxmlformats.org/officeDocument/2006/relationships/settings" Target="settings.xml" />
  <Relationship Id="rId5" Type="http://schemas.microsoft.com/office/2011/relationships/commentsExtended" Target="commentsExtended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unknown</dc:creator>
  <cp:lastModifiedBy>unknown</cp:lastModifiedBy>
  <dcterms:modified xsi:type="dcterms:W3CDTF">1970-01-01T00:00:00Z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