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  <Relationship Id="rId4" Type="http://schemas.openxmlformats.org/officeDocument/2006/relationships/custom-properties" Target="docProps/custom.xml" 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jc w:val="center"/>
      </w:pPr>
      <w:r>
        <w:rPr>
          <w:sz w:val="36"/>
          <w:szCs w:val="36"/>
          <w:color w:val="2E86C1"/>
          <w:b/>
          <w:bCs/>
        </w:rPr>
        <w:t xml:space="preserve">High-Level Design</w:t>
      </w:r>
    </w:p>
    <w:p w14:paraId="00000002">
      <w:pPr>
        <w:rPr/>
        <w:jc w:val="center"/>
      </w:pPr>
      <w:r>
        <w:rPr>
          <w:sz w:val="24"/>
          <w:szCs w:val="24"/>
          <w:b/>
          <w:bCs/>
        </w:rPr>
        <w:t xml:space="preserve">Infrastructure Migration Project</w:t>
      </w:r>
    </w:p>
    <w:p w14:paraId="00000003">
      <w:pPr>
        <w:rPr/>
        <w:jc w:val="center"/>
      </w:pPr>
      <w:r>
        <w:rPr>
          <w:sz w:val="14"/>
          <w:szCs w:val="14"/>
          <w:i/>
          <w:iCs/>
        </w:rPr>
        <w:t xml:space="preserve">Generated: August 27, 2025</w:t>
      </w:r>
    </w:p>
    <w:p w14:paraId="00000004">
      <w:pPr>
        <w:rPr/>
      </w:pPr>
      <w:r>
        <w:rPr/>
        <w:br w:type="page"/>
      </w:r>
    </w:p>
    <w:p w14:paraId="00000005">
      <w:pPr>
        <w:rPr/>
      </w:pPr>
      <w:r>
        <w:rPr>
          <w:sz w:val="20"/>
          <w:szCs w:val="20"/>
          <w:color w:val="2E86C1"/>
          <w:b/>
          <w:bCs/>
        </w:rPr>
        <w:t xml:space="preserve">Executive Summary</w:t>
      </w:r>
    </w:p>
    <w:p w14:paraId="00000006">
      <w:pPr>
        <w:rPr/>
      </w:pPr>
      <w:r>
        <w:rPr/>
        <w:t xml:space="preserve">This document outlines the high-level design for migrating 50 virtual machines across 4 hosts with a total capacity of 256 vCPUs and 1024 GB memory. The target architecture has been designed to accommodate current workloads with 10240 GB storage and provision for future growth.</w:t>
      </w:r>
    </w:p>
    <w:p w14:paraId="00000007">
      <w:pPr>
        <w:rPr/>
      </w:pPr>
      <w:r>
        <w:rPr>
          <w:sz w:val="16"/>
          <w:szCs w:val="16"/>
          <w:b/>
          <w:bCs/>
        </w:rPr>
        <w:t xml:space="preserve">Current Environment Summary</w:t>
      </w:r>
    </w:p>
    <w:tbl>
      <w:tblPr>
        <w:tblW w:w="0" w:type="dxa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8">
            <w:pPr>
              <w:rPr/>
            </w:pPr>
            <w:r>
              <w:rPr>
                <w:b/>
                <w:bCs/>
              </w:rPr>
              <w:t xml:space="preserve">Resource</w:t>
            </w:r>
          </w:p>
        </w:tc>
        <w:tc>
          <w:tcPr/>
          <w:p w14:paraId="00000009">
            <w:pPr>
              <w:rPr/>
            </w:pPr>
            <w:r>
              <w:rPr>
                <w:b/>
                <w:bCs/>
              </w:rPr>
              <w:t xml:space="preserve">Current Capacity</w:t>
            </w:r>
          </w:p>
        </w:tc>
        <w:tc>
          <w:tcPr/>
          <w:p w14:paraId="0000000a">
            <w:pPr>
              <w:rPr/>
            </w:pPr>
            <w:r>
              <w:rPr>
                <w:b/>
                <w:bCs/>
              </w:rPr>
              <w:t xml:space="preserve">Target Capacity</w:t>
            </w:r>
          </w:p>
        </w:tc>
      </w:tr>
      <w:tr>
        <w:trPr/>
        <w:tc>
          <w:tcPr/>
          <w:p w14:paraId="0000000b">
            <w:pPr>
              <w:rPr/>
            </w:pPr>
            <w:r>
              <w:rPr/>
              <w:t xml:space="preserve">Virtual Machines</w:t>
            </w:r>
          </w:p>
        </w:tc>
        <w:tc>
          <w:tcPr/>
          <w:p w14:paraId="0000000c">
            <w:pPr>
              <w:rPr/>
            </w:pPr>
            <w:r>
              <w:rPr/>
              <w:t xml:space="preserve">50</w:t>
            </w:r>
          </w:p>
        </w:tc>
        <w:tc>
          <w:tcPr/>
          <w:p w14:paraId="0000000d">
            <w:pPr>
              <w:rPr/>
            </w:pPr>
            <w:r>
              <w:rPr/>
              <w:t xml:space="preserve">50</w:t>
            </w:r>
          </w:p>
        </w:tc>
      </w:tr>
      <w:tr>
        <w:trPr/>
        <w:tc>
          <w:tcPr/>
          <w:p w14:paraId="0000000e">
            <w:pPr>
              <w:rPr/>
            </w:pPr>
            <w:r>
              <w:rPr/>
              <w:t xml:space="preserve">Physical Hosts</w:t>
            </w:r>
          </w:p>
        </w:tc>
        <w:tc>
          <w:tcPr/>
          <w:p w14:paraId="0000000f">
            <w:pPr>
              <w:rPr/>
            </w:pPr>
            <w:r>
              <w:rPr/>
              <w:t xml:space="preserve">4</w:t>
            </w:r>
          </w:p>
        </w:tc>
        <w:tc>
          <w:tcPr/>
          <w:p w14:paraId="00000010">
            <w:pPr>
              <w:rPr/>
            </w:pPr>
            <w:r>
              <w:rPr/>
              <w:t xml:space="preserve">5</w:t>
            </w:r>
          </w:p>
        </w:tc>
      </w:tr>
      <w:tr>
        <w:trPr/>
        <w:tc>
          <w:tcPr/>
          <w:p w14:paraId="00000011">
            <w:pPr>
              <w:rPr/>
            </w:pPr>
            <w:r>
              <w:rPr/>
              <w:t xml:space="preserve">vCPU Cores</w:t>
            </w:r>
          </w:p>
        </w:tc>
        <w:tc>
          <w:tcPr/>
          <w:p w14:paraId="00000012">
            <w:pPr>
              <w:rPr/>
            </w:pPr>
            <w:r>
              <w:rPr/>
              <w:t xml:space="preserve">256</w:t>
            </w:r>
          </w:p>
        </w:tc>
        <w:tc>
          <w:tcPr/>
          <w:p w14:paraId="00000013">
            <w:pPr>
              <w:rPr/>
            </w:pPr>
            <w:r>
              <w:rPr/>
              <w:t xml:space="preserve">320</w:t>
            </w:r>
          </w:p>
        </w:tc>
      </w:tr>
      <w:tr>
        <w:trPr/>
        <w:tc>
          <w:tcPr/>
          <w:p w14:paraId="00000014">
            <w:pPr>
              <w:rPr/>
            </w:pPr>
            <w:r>
              <w:rPr/>
              <w:t xml:space="preserve">Memory (GB)</w:t>
            </w:r>
          </w:p>
        </w:tc>
        <w:tc>
          <w:tcPr/>
          <w:p w14:paraId="00000015">
            <w:pPr>
              <w:rPr/>
            </w:pPr>
            <w:r>
              <w:rPr/>
              <w:t xml:space="preserve">1024</w:t>
            </w:r>
          </w:p>
        </w:tc>
        <w:tc>
          <w:tcPr/>
          <w:p w14:paraId="00000016">
            <w:pPr>
              <w:rPr/>
            </w:pPr>
            <w:r>
              <w:rPr/>
              <w:t xml:space="preserve">1536</w:t>
            </w:r>
          </w:p>
        </w:tc>
      </w:tr>
      <w:tr>
        <w:trPr/>
        <w:tc>
          <w:tcPr/>
          <w:p w14:paraId="00000017">
            <w:pPr>
              <w:rPr/>
            </w:pPr>
            <w:r>
              <w:rPr/>
              <w:t xml:space="preserve">Storage (GB)</w:t>
            </w:r>
          </w:p>
        </w:tc>
        <w:tc>
          <w:tcPr/>
          <w:p w14:paraId="00000018">
            <w:pPr>
              <w:rPr/>
            </w:pPr>
            <w:r>
              <w:rPr/>
              <w:t xml:space="preserve">10240</w:t>
            </w:r>
          </w:p>
        </w:tc>
        <w:tc>
          <w:tcPr/>
          <w:p w14:paraId="00000019">
            <w:pPr>
              <w:rPr/>
            </w:pPr>
            <w:r>
              <w:rPr/>
              <w:t xml:space="preserve">12288</w:t>
            </w:r>
          </w:p>
        </w:tc>
      </w:tr>
    </w:tbl>
    <w:p w14:paraId="0000001a">
      <w:pPr>
        <w:rPr/>
      </w:pPr>
      <w:r>
        <w:rPr/>
        <w:br w:type="page"/>
      </w:r>
    </w:p>
    <w:p w14:paraId="0000001b">
      <w:pPr>
        <w:rPr/>
      </w:pPr>
      <w:r>
        <w:rPr>
          <w:sz w:val="20"/>
          <w:szCs w:val="20"/>
          <w:color w:val="2E86C1"/>
          <w:b/>
          <w:bCs/>
        </w:rPr>
        <w:t xml:space="preserve">Target Architecture Overview</w:t>
      </w:r>
    </w:p>
    <w:p w14:paraId="0000001c">
      <w:pPr>
        <w:rPr/>
      </w:pPr>
      <w:r>
        <w:rPr/>
        <w:t xml:space="preserve">The target infrastructure consists of modern hyperconverged infrastructure designed for optimal performance, scalability, and resilience. Key architectural components include:</w:t>
      </w:r>
    </w:p>
    <w:p w14:paraId="0000001d">
      <w:pPr>
        <w:rPr/>
        <w:ind w:left="720" w:right="0"/>
      </w:pPr>
      <w:r>
        <w:rPr/>
        <w:t xml:space="preserve">• Compute: High-performance servers with latest generation processors</w:t>
      </w:r>
    </w:p>
    <w:p w14:paraId="0000001e">
      <w:pPr>
        <w:rPr/>
        <w:ind w:left="720" w:right="0"/>
      </w:pPr>
      <w:r>
        <w:rPr/>
        <w:t xml:space="preserve">• Storage: NVMe-based storage subsystem with built-in redundancy</w:t>
      </w:r>
    </w:p>
    <w:p w14:paraId="0000001f">
      <w:pPr>
        <w:rPr/>
        <w:ind w:left="720" w:right="0"/>
      </w:pPr>
      <w:r>
        <w:rPr/>
        <w:t xml:space="preserve">• Network: 25GbE connectivity with redundant switching infrastructure</w:t>
      </w:r>
    </w:p>
    <w:p w14:paraId="00000020">
      <w:pPr>
        <w:rPr/>
        <w:ind w:left="720" w:right="0"/>
      </w:pPr>
      <w:r>
        <w:rPr/>
        <w:t xml:space="preserve">• Management: Centralized management platform with automation capabilities</w:t>
      </w:r>
    </w:p>
    <w:p w14:paraId="00000021">
      <w:pPr>
        <w:rPr/>
        <w:ind w:left="720" w:right="0"/>
      </w:pPr>
      <w:r>
        <w:rPr/>
        <w:t xml:space="preserve">• Security: Comprehensive security framework with micro-segmentation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fontTable" Target="fontTable.xml" />
  <Relationship Id="rId3" Type="http://schemas.openxmlformats.org/officeDocument/2006/relationships/settings" Target="settings.xml" />
  <Relationship Id="rId5" Type="http://schemas.microsoft.com/office/2011/relationships/commentsExtended" Target="commentsExtended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