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td72asvdi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Act Role Classification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4f0rgiqhcbn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Are You a Provider, Deployer, or Both?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diagnostic tool to determine your primary classification under the EU AI Act. Many organizations will find they hold different roles for different AI tools.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yav96n6cb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Internal Usage (The Deployer Test)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use an AI system in a professional capacity to perform a task?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Using a third-party tool for HR screening, summarizing documents with an LLM, or using AI-driven fraud detection in your bank.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are a </w:t>
      </w:r>
      <w:r w:rsidDel="00000000" w:rsidR="00000000" w:rsidRPr="00000000">
        <w:rPr>
          <w:b w:val="1"/>
          <w:bCs w:val="1"/>
          <w:rtl w:val="0"/>
        </w:rPr>
        <w:t xml:space="preserve">DEPLOYER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to Step 2.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exksr5j2j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Original Creation (The Provider Test)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develop an AI system and either sell it or use it for the first time under your own brand?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Developing includes designing the logic, training the model, or building the software architecture.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are a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(Art. 3(2)).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the model is "General Purpose" (e.g., a foundation model), you may have additional </w:t>
      </w:r>
      <w:r w:rsidDel="00000000" w:rsidR="00000000" w:rsidRPr="00000000">
        <w:rPr>
          <w:b w:val="1"/>
          <w:bCs w:val="1"/>
          <w:rtl w:val="0"/>
        </w:rPr>
        <w:t xml:space="preserve">GPAI Provider</w:t>
      </w:r>
      <w:r w:rsidDel="00000000" w:rsidR="00000000" w:rsidRPr="00000000">
        <w:rPr>
          <w:rtl w:val="0"/>
        </w:rPr>
        <w:t xml:space="preserve">obligations.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to Step 3.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kjc3ofaii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White-Labeling &amp; Branding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put your own name, logo, or trademark on an existing AI system developed by someone else?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Even if you didn't build the code, if the customer sees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brand, you are "deemed" the Provider by law.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are a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(Art. 25(1)(a)).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to Step 4.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g26s8tcy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Repurposing (Intended Purpose)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change the "Intended Purpose" of a high-risk AI system?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Taking an AI meant for "general text summarization" and specifically marketing/using it for "calculating credit scores."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are a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(Art. 25(1)(c)).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to Step 5.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cb37430zy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Substantial Modification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make a "Substantial Modification" to an existing AI system?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change that affects the system’s compliance or changes its risk profile (e.g., retraining a model with a massive new dataset that changes its core outputs).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are a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(Art. 25(1)(b)).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original provider is usually no longer responsible for that modified version.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to Step 6.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9aid364h3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Third-Party Integration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integrate an AI model into a larger software product you sell?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You build a CRM and embed a third-party API to provide predictive sales analytics to your users.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are the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(the CRM features), even if you aren't the provider of the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(the API).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☐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to Step 7.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zgrzqjzev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Do you use the AI system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as-is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strictly according to the provider’s instructions?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change to intended purpose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substantial modification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rebranding or resale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or operational use only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→ You are a </w:t>
      </w:r>
      <w:r w:rsidDel="00000000" w:rsidR="00000000" w:rsidRPr="00000000">
        <w:rPr>
          <w:b w:val="1"/>
          <w:bCs w:val="1"/>
          <w:rtl w:val="0"/>
        </w:rPr>
        <w:t xml:space="preserve">DEPLOYER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 → Review the previous steps — you may still qualify as a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BOTH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1a4t1bdum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Are you both selling and using the AI system?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checked boxes under both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Deployer</w:t>
      </w:r>
      <w:r w:rsidDel="00000000" w:rsidR="00000000" w:rsidRPr="00000000">
        <w:rPr>
          <w:rtl w:val="0"/>
        </w:rPr>
        <w:t xml:space="preserve"> categories: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→ You are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(dual obligations apply)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a6pjccj5b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 Summary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you selected any Provider boxes:</w:t>
        <w:br w:type="textWrapping"/>
      </w:r>
      <w:r w:rsidDel="00000000" w:rsidR="00000000" w:rsidRPr="00000000">
        <w:rPr>
          <w:rtl w:val="0"/>
        </w:rPr>
        <w:t xml:space="preserve">➡️ You must comply with </w:t>
      </w:r>
      <w:r w:rsidDel="00000000" w:rsidR="00000000" w:rsidRPr="00000000">
        <w:rPr>
          <w:b w:val="1"/>
          <w:bCs w:val="1"/>
          <w:rtl w:val="0"/>
        </w:rPr>
        <w:t xml:space="preserve">provider obligations</w:t>
        <w:br w:type="textWrapping"/>
      </w:r>
      <w:r w:rsidDel="00000000" w:rsidR="00000000" w:rsidRPr="00000000">
        <w:rPr>
          <w:rtl w:val="0"/>
        </w:rPr>
        <w:t xml:space="preserve">(Arts. 9–15 AI Act, risk management, technical documentation, and—where applicable—conformity assessment)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you selected only Deployer boxes:</w:t>
        <w:br w:type="textWrapping"/>
      </w:r>
      <w:r w:rsidDel="00000000" w:rsidR="00000000" w:rsidRPr="00000000">
        <w:rPr>
          <w:rtl w:val="0"/>
        </w:rPr>
        <w:t xml:space="preserve">➡️ You must comply with </w:t>
      </w:r>
      <w:r w:rsidDel="00000000" w:rsidR="00000000" w:rsidRPr="00000000">
        <w:rPr>
          <w:b w:val="1"/>
          <w:bCs w:val="1"/>
          <w:rtl w:val="0"/>
        </w:rPr>
        <w:t xml:space="preserve">deployer obligations</w:t>
        <w:br w:type="textWrapping"/>
      </w:r>
      <w:r w:rsidDel="00000000" w:rsidR="00000000" w:rsidRPr="00000000">
        <w:rPr>
          <w:rtl w:val="0"/>
        </w:rPr>
        <w:t xml:space="preserve">(human oversight, transparency, monitoring, and FRIA where required)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hoz5hyhb0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Disclaimer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provides a </w:t>
      </w:r>
      <w:r w:rsidDel="00000000" w:rsidR="00000000" w:rsidRPr="00000000">
        <w:rPr>
          <w:b w:val="1"/>
          <w:bCs w:val="1"/>
          <w:rtl w:val="0"/>
        </w:rPr>
        <w:t xml:space="preserve">high-level overview</w:t>
      </w:r>
      <w:r w:rsidDel="00000000" w:rsidR="00000000" w:rsidRPr="00000000">
        <w:rPr>
          <w:rtl w:val="0"/>
        </w:rPr>
        <w:t xml:space="preserve"> only.</w:t>
        <w:br w:type="textWrapping"/>
        <w:t xml:space="preserve">The EU AI Act contains </w:t>
      </w:r>
      <w:r w:rsidDel="00000000" w:rsidR="00000000" w:rsidRPr="00000000">
        <w:rPr>
          <w:b w:val="1"/>
          <w:bCs w:val="1"/>
          <w:rtl w:val="0"/>
        </w:rPr>
        <w:t xml:space="preserve">nuances, thresholds, and edge cases</w:t>
      </w:r>
      <w:r w:rsidDel="00000000" w:rsidR="00000000" w:rsidRPr="00000000">
        <w:rPr>
          <w:rtl w:val="0"/>
        </w:rPr>
        <w:t xml:space="preserve"> (e.g. downstream providers, GPAI APIs, hybrid roles) that may materially affect classification.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legally robust and fully accurate assessment</w:t>
      </w:r>
      <w:r w:rsidDel="00000000" w:rsidR="00000000" w:rsidRPr="00000000">
        <w:rPr>
          <w:rtl w:val="0"/>
        </w:rPr>
        <w:t xml:space="preserve">, we recommend a tailored analysis.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a consultation with SenecAI Consulting</w:t>
      </w:r>
      <w:r w:rsidDel="00000000" w:rsidR="00000000" w:rsidRPr="00000000">
        <w:rPr>
          <w:rtl w:val="0"/>
        </w:rPr>
        <w:t xml:space="preserve"> to determine your exact role and compliance obligations.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