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0"/>
        </w:tabs>
        <w:bidi w:val="0"/>
        <w:spacing w:before="0" w:after="200" w:line="288"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Die Presse 18.09.1878</w:t>
      </w: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Seite 2</w:t>
      </w: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So gingen die Dinge bis 1871; da sind endlich den Arbeitern im Vereine die Augen aufgegangen; sie erkannten das frevelhafte Spiel Schweitzer's, der seine Anhänger mit eminentem Geschick zu täuschen verstand. Nun wurde er abgesetzt und von  diesem Augenblicke an wurde </w:t>
      </w:r>
      <w:r>
        <w:rPr>
          <w:rFonts w:ascii="Aptos" w:eastAsia="Aptos" w:hAnsi="Aptos" w:cs="Aptos"/>
          <w:b w:val="0"/>
          <w:i w:val="0"/>
          <w:strike w:val="0"/>
          <w:color w:val="auto"/>
          <w:sz w:val="22"/>
          <w:highlight w:val="none"/>
          <w:u w:val="none"/>
          <w:vertAlign w:val="baseline"/>
          <w:rtl w:val="0"/>
        </w:rPr>
        <w:t>allerdings</w:t>
      </w:r>
      <w:r>
        <w:rPr>
          <w:rFonts w:ascii="Aptos" w:eastAsia="Aptos" w:hAnsi="Aptos" w:cs="Aptos"/>
          <w:b w:val="0"/>
          <w:i w:val="0"/>
          <w:strike w:val="0"/>
          <w:color w:val="auto"/>
          <w:sz w:val="22"/>
          <w:highlight w:val="none"/>
          <w:u w:val="none"/>
          <w:vertAlign w:val="baseline"/>
          <w:rtl w:val="0"/>
        </w:rPr>
        <w:t xml:space="preserve"> die Politik der preußischen Regierung gegenüber der Social-Demokratie eine andere; daß man aber fortesetzt dennooch in dieser Richtung thätig war, beweist, glaube ich, die Conferenz mit Oesterreich, die Sendung Wagner's und Rodolph Meyer's nach Eisenach 1875 und endlich sind erst in den letzten Wochen, wenn auch nicht von Regierunggseite, so doch von einer Seite, welche ziemlich nah mit der Regierung in Fühlung steht, der Berliner Social Demokratie Offerten gemacht worden, ungefähr dahin gehend, daß, wnen wir bei der Reichtstagswahl unsere Kandidaten im zweiten Bezirke zurückzögen und einen Schutzzöllner aufstellen ließen, den bekannten Herrn Slagau, umgekehrt die Herren bereit wären, alle unsere Forderungen in Bezug auf das Arbeiterschutzgesetz, den Normal-Arbeitstag, die Verkürzung der Arbeitszeit, Einschränkung der Frauen- und Kinderarbeit u. s. w. gutzuheißen und zu unterstützen. (hört! links.) Man glaubt also trotz der Agitationen und Anschuldigungen ie 500.000 Stimmen der Social-Demokratie gut gebrauchen zu können und ist  jederzeit bereit, mit uns zu liebäugeln. Redner erwähnt vann noch daß 1865 Karl Marx in Lonon von dem Geheimrath Lothar Bucher aufgefordert worden sei, und zwar mit Wissen der Regie-rung des Fürsten Bismarck, Artikel für den preußischen "Staatsanzeiger" über Waarenbörse und Waarenmarkt zu schreiben uns geht dann zur kritischen Würdigung des vorliegenden Gesetz-entwurfs über, wobei wir ihm nur unter Verzicht auf steno-graphische Worttreue in seinem Gedankengange folgen. Er hebt hervor, daß die Vorlage einen ganz gewaltigen Angriff auf das Privateigentum in der unmotiviertesten Weise unternimmt und der Social-Demokratie für künftige Fälle ein sehr bedenkliches Präcedenz schafft. </w:t>
      </w: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200" w:line="288" w:lineRule="auto"/>
        <w:ind w:left="0" w:right="0" w:firstLine="0"/>
        <w:jc w:val="left"/>
        <w:rPr>
          <w:rFonts w:ascii="Aptos" w:eastAsia="Aptos" w:hAnsi="Aptos" w:cs="Aptos"/>
          <w:b w:val="0"/>
          <w:i w:val="0"/>
          <w:strike w:val="0"/>
          <w:color w:val="auto"/>
          <w:sz w:val="22"/>
          <w:highlight w:val="none"/>
          <w:u w:val="none"/>
          <w:vertAlign w:val="baseline"/>
          <w:rtl w:val="0"/>
        </w:rPr>
      </w:pPr>
    </w:p>
    <w:sectPr>
      <w:pgSz w:w="12240" w:h="15840"/>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