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Reichspost, 16.08.1928</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[ 2023-06-29 10:38:41.957 - 19280816 - Seite </w:t>
      </w:r>
      <w:r>
        <w:rPr>
          <w:rFonts w:ascii="Aptos" w:eastAsia="Aptos" w:hAnsi="Aptos" w:cs="Aptos"/>
          <w:b w:val="0"/>
          <w:i w:val="0"/>
          <w:strike w:val="0"/>
          <w:color w:val="auto"/>
          <w:sz w:val="22"/>
          <w:highlight w:val="none"/>
          <w:u w:val="none"/>
          <w:vertAlign w:val="baseline"/>
          <w:rtl w:val="0"/>
        </w:rPr>
        <w:t>4 ]</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Spielzeugschnitzerei im Erzgebirge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Als vor mehreren hundert Jahren das Schnitzen hölzerner Gegenstände im Erzgebirge seinen Anfang nahm, wurde diese Arbeit ausschließlich von Männern betrieben. In der zweiten Hälfte des vorigen Jahrhunderts aber begann man dort kleine Holzfiguren und Holzsoldaten und ähnliche vielgekaufte Spielwaren zu erzeugen, bei denen Schnitzerei und Drechslerei zusammenwirkten. Da wurde diese Beschäftigung in der Hauptsache Frauen-, ja teilweise sogar Kinderarbeit. Heute ist in der erzgebirgischen Spielwarenheimindustrie die Arbeitsteilung innerhalb der Familie auf unbedingte Zweckmäßigkeit scharf eingestellt. Während der Mann die schwerere Arbeit des Drechselns verrichtet, werden die kleineren Nebenarbeiten von Frauen und Kindern ausgeführt.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Bei der Schnitzarbeit für die Herstellung der </w:t>
      </w:r>
      <w:r>
        <w:rPr>
          <w:rFonts w:ascii="Aptos" w:eastAsia="Aptos" w:hAnsi="Aptos" w:cs="Aptos"/>
          <w:b w:val="0"/>
          <w:i w:val="0"/>
          <w:strike w:val="0"/>
          <w:color w:val="auto"/>
          <w:sz w:val="22"/>
          <w:highlight w:val="none"/>
          <w:u w:val="none"/>
          <w:vertAlign w:val="baseline"/>
          <w:rtl w:val="0"/>
        </w:rPr>
        <w:t>Gespannpferde</w:t>
      </w:r>
      <w:r>
        <w:rPr>
          <w:rFonts w:ascii="Aptos" w:eastAsia="Aptos" w:hAnsi="Aptos" w:cs="Aptos"/>
          <w:b w:val="0"/>
          <w:i w:val="0"/>
          <w:strike w:val="0"/>
          <w:color w:val="auto"/>
          <w:sz w:val="22"/>
          <w:highlight w:val="none"/>
          <w:u w:val="none"/>
          <w:vertAlign w:val="baseline"/>
          <w:rtl w:val="0"/>
        </w:rPr>
        <w:t xml:space="preserve"> und Kühe, die im Erzgebirge aus einem Stück Holz geschnitten sind, wird die Kontur zuerst mit der Bandsäge ausgeschnitten, das übrige leistet das Schnitzmesser. Dabei ist Frauen- und Kinderarbeit nicht verwendbar; hier ist die kräftigere Hand des Mannes nötig. Übrigens stirbt dieser Arbeitszweig aus: Jüngere Kräfte beschäftigen sich nicht mehr dafür. Es sind aber Ansätze genug vorhanden, die hoffen lassen,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die Entwicklung von billiger Massen-Spielware zu Qualitätsspielzeug auch in den Spielwarendörfern des oberen Erzgebirges möglich ist, wenn die vorhandenen Arbeitskräfte die erforderliche Schulung und Pflege finden. Für die armen, oft darbenden Erzgebirgler tut solche Fürsorge dringend not.</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Ideale der Frauenbildung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Über dieses Thema sprach Frau Prof. Dr. Gertrud Herzog-Häuser kürzlich in der Urania. Sie hob den begrifflichen und sprachlichen Zusammenhang von Ideal und Bildung, ausgehend von Platons Ideenlehre, hervor, stellte dem orientalischen Frauenideal, das bei den Chinesen in den Forderungen nach Zurückgezogenheit, Sanftmut, Schamhaftigkeit gipfelt, das westliche gegenüber — z. B. in Sparta: Söhne zu gebären und zum Kampf zu erziehen. In Athen berührten sich beide Welten durch das Herüberwirken Asiens.</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Das christliche Frauenideal wird an Maria und Martha, Magdalena, bei den Heiligen Paula, Monika, Genoveva, Elisabeth verkörpert. In der Renaissancezeit trat die Persönlichkeit mehr hervor: Vittoria Colonna und ihr Gegenbild: </w:t>
      </w:r>
      <w:r>
        <w:rPr>
          <w:rFonts w:ascii="Aptos" w:eastAsia="Aptos" w:hAnsi="Aptos" w:cs="Aptos"/>
          <w:b w:val="0"/>
          <w:i w:val="0"/>
          <w:strike w:val="0"/>
          <w:color w:val="auto"/>
          <w:sz w:val="22"/>
          <w:highlight w:val="none"/>
          <w:u w:val="none"/>
          <w:vertAlign w:val="baseline"/>
          <w:rtl w:val="0"/>
        </w:rPr>
        <w:t>Lukrezia</w:t>
      </w:r>
      <w:r>
        <w:rPr>
          <w:rFonts w:ascii="Aptos" w:eastAsia="Aptos" w:hAnsi="Aptos" w:cs="Aptos"/>
          <w:b w:val="0"/>
          <w:i w:val="0"/>
          <w:strike w:val="0"/>
          <w:color w:val="auto"/>
          <w:sz w:val="22"/>
          <w:highlight w:val="none"/>
          <w:u w:val="none"/>
          <w:vertAlign w:val="baseline"/>
          <w:rtl w:val="0"/>
        </w:rPr>
        <w:t xml:space="preserve"> Borgia; in der des Pietismus: hausmütterliche Frömmigkeit; in der Aufklärungszeit: die „schöne Seele“. Die Gegenwart hat andere Typen ausgebildet, denen nachgestrebt wird: Nora — der Mittelpunkt von Ibsens „Puppenheim“ —, andererseits die Sport- und die Geschäftsfrau. Die Flucht von der Weiblichkeit leitet über zu einem allgemein-menschlichen Ideal, bei dem Gewissenhaftigkeit in der Arbeit und Anspruchslosigkeit Hauptmerkmale bilden sollten. Das Ideal der Frauenbildung bleibt aber eine solche auf weltanschaulicher Grundlage.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