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0"/>
        </w:tabs>
        <w:bidi w:val="0"/>
        <w:spacing w:before="0" w:after="160" w:line="264"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Wiener Zeitung, 28.11.1918</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Seite 3</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Gesetz vom 19. Dezember 1918 über die Kinderarbeit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Provisorische Nationalversammlung des Staates Deutschösterreich hat beschlossen: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1 — Wirkungskreis des Gesetzes</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Kinder im Sinne dieses Gesetzes, das sind Knaben und Mädchen vor dem vollendeten 14. Lebensjahr, dürfen nur nach Maßgabe dieses Gesetzes zur Arbeit (Kinderarbeit) verwendet oder sonst beschäftigt werden.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2 — Begriff der Kinderarbeit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Als Kinderarbeit gilt die entgeltliche und die, wenn auch nicht besonders entlohnte, regelmäßige Verwendung von Kindern zu Arbeiten jeglicher Art.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Als Kinderarbeit gilt nicht die Beschäftigung von Kindern, die ausschließlich zu Zwecken des Unterrichtes oder der Erziehung erfolgt; ferner nicht die Heranziehung von Kindern zu vereinzelten Dienstleistungen und nicht die Beschäftigung eigener Kinder (§ 3) mit leichten, wenn auch regelmäßigen Leistungen von geringer Dauer </w:t>
      </w:r>
      <w:r>
        <w:rPr>
          <w:rFonts w:ascii="Aptos" w:eastAsia="Aptos" w:hAnsi="Aptos" w:cs="Aptos"/>
          <w:b w:val="0"/>
          <w:i w:val="0"/>
          <w:strike w:val="0"/>
          <w:color w:val="auto"/>
          <w:sz w:val="22"/>
          <w:highlight w:val="none"/>
          <w:u w:val="none"/>
          <w:vertAlign w:val="baseline"/>
          <w:rtl w:val="0"/>
        </w:rPr>
        <w:t>im Haushalte</w:t>
      </w:r>
      <w:r>
        <w:rPr>
          <w:rFonts w:ascii="Aptos" w:eastAsia="Aptos" w:hAnsi="Aptos" w:cs="Aptos"/>
          <w:b w:val="0"/>
          <w:i w:val="0"/>
          <w:strike w:val="0"/>
          <w:color w:val="auto"/>
          <w:sz w:val="22"/>
          <w:highlight w:val="none"/>
          <w:u w:val="none"/>
          <w:vertAlign w:val="baseline"/>
          <w:rtl w:val="0"/>
        </w:rPr>
        <w: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Wenn das Gesetz von Verwendung der Kinder spricht, ist Verwendung zu Kinderarbeit gemeint.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3 — Eigene und fremde Kinder</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Als eigene Kinder im Sinne dieses Gesetzes gelten Kinder, die im gemeinsamen Haushalt mit jenem, der sie beschäftigt, leben und mit ihm bis </w:t>
      </w:r>
      <w:r>
        <w:rPr>
          <w:rFonts w:ascii="Aptos" w:eastAsia="Aptos" w:hAnsi="Aptos" w:cs="Aptos"/>
          <w:b w:val="0"/>
          <w:i w:val="0"/>
          <w:strike w:val="0"/>
          <w:color w:val="auto"/>
          <w:sz w:val="22"/>
          <w:highlight w:val="none"/>
          <w:u w:val="none"/>
          <w:vertAlign w:val="baseline"/>
          <w:rtl w:val="0"/>
        </w:rPr>
        <w:t>zum vierten Grade</w:t>
      </w:r>
      <w:r>
        <w:rPr>
          <w:rFonts w:ascii="Aptos" w:eastAsia="Aptos" w:hAnsi="Aptos" w:cs="Aptos"/>
          <w:b w:val="0"/>
          <w:i w:val="0"/>
          <w:strike w:val="0"/>
          <w:color w:val="auto"/>
          <w:sz w:val="22"/>
          <w:highlight w:val="none"/>
          <w:u w:val="none"/>
          <w:vertAlign w:val="baseline"/>
          <w:rtl w:val="0"/>
        </w:rPr>
        <w:t xml:space="preserve"> verwandt oder verschwägert sind oder zu ihm im Verhältnis von Wahlkindern, Mündeln oder Pflegekindern stehen.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Alle übrigen gelten als fremde Kinder.</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4 — Allgemeine Beschränkung</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Kinder dürfen nur insoweit verwendet oder sonst beschäftigt werden, als sie dadurch in ihrer Gesundheit nicht geschädigt, in ihrer körperlichen und geistigen Entwicklung oder in ihrer Sittlichkeit nicht gefährdet und in der Erfüllung ihrer Schulpflicht nicht behindert werden.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5 — Verbotene Betriebsstätten und Beschäftigungen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In den Betriebsstätten, die in dem beigeschlossenen Verzeichnis angeführt sind, dürfen Kinder nicht verwendet oder sonst beschäftigt werden; zu den dort angeführten Beschäftigungen dürfen sie nicht herangezogen werden.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Es bleibt dem Staatsrate vorbehalten, dieses Verzeichnis zu ergänzen und andere weitergehende Beschränkungen der Verwendung und sonstiger Beschäftigung von Kindern zu verfügen.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6 — Lohnschutz</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Insoweit das Entgelt für die Arbeit fremder Kinder (§ 3) in </w:t>
      </w:r>
      <w:r>
        <w:rPr>
          <w:rFonts w:ascii="Aptos" w:eastAsia="Aptos" w:hAnsi="Aptos" w:cs="Aptos"/>
          <w:b w:val="0"/>
          <w:i w:val="0"/>
          <w:strike w:val="0"/>
          <w:color w:val="auto"/>
          <w:sz w:val="22"/>
          <w:highlight w:val="none"/>
          <w:u w:val="none"/>
          <w:vertAlign w:val="baseline"/>
          <w:rtl w:val="0"/>
        </w:rPr>
        <w:t>Geldlohn</w:t>
      </w:r>
      <w:r>
        <w:rPr>
          <w:rFonts w:ascii="Aptos" w:eastAsia="Aptos" w:hAnsi="Aptos" w:cs="Aptos"/>
          <w:b w:val="0"/>
          <w:i w:val="0"/>
          <w:strike w:val="0"/>
          <w:color w:val="auto"/>
          <w:sz w:val="22"/>
          <w:highlight w:val="none"/>
          <w:u w:val="none"/>
          <w:vertAlign w:val="baseline"/>
          <w:rtl w:val="0"/>
        </w:rPr>
        <w:t xml:space="preserve"> besteht, dürfen in Anrechnung </w:t>
      </w:r>
      <w:r>
        <w:rPr>
          <w:rFonts w:ascii="Aptos" w:eastAsia="Aptos" w:hAnsi="Aptos" w:cs="Aptos"/>
          <w:b w:val="0"/>
          <w:i w:val="0"/>
          <w:strike w:val="0"/>
          <w:color w:val="auto"/>
          <w:sz w:val="22"/>
          <w:highlight w:val="none"/>
          <w:u w:val="none"/>
          <w:vertAlign w:val="baseline"/>
          <w:rtl w:val="0"/>
        </w:rPr>
        <w:t>auf diesen bloß Wohnung</w:t>
      </w:r>
      <w:r>
        <w:rPr>
          <w:rFonts w:ascii="Aptos" w:eastAsia="Aptos" w:hAnsi="Aptos" w:cs="Aptos"/>
          <w:b w:val="0"/>
          <w:i w:val="0"/>
          <w:strike w:val="0"/>
          <w:color w:val="auto"/>
          <w:sz w:val="22"/>
          <w:highlight w:val="none"/>
          <w:u w:val="none"/>
          <w:vertAlign w:val="baseline"/>
          <w:rtl w:val="0"/>
        </w:rPr>
        <w:t xml:space="preserve">, Kleidung, Lebensmittel, endlich Schulrequisiten zugewendet werden. Der </w:t>
      </w:r>
      <w:r>
        <w:rPr>
          <w:rFonts w:ascii="Aptos" w:eastAsia="Aptos" w:hAnsi="Aptos" w:cs="Aptos"/>
          <w:b w:val="0"/>
          <w:i w:val="0"/>
          <w:strike w:val="0"/>
          <w:color w:val="auto"/>
          <w:sz w:val="22"/>
          <w:highlight w:val="none"/>
          <w:u w:val="none"/>
          <w:vertAlign w:val="baseline"/>
          <w:rtl w:val="0"/>
        </w:rPr>
        <w:t>hiebei</w:t>
      </w:r>
      <w:r>
        <w:rPr>
          <w:rFonts w:ascii="Aptos" w:eastAsia="Aptos" w:hAnsi="Aptos" w:cs="Aptos"/>
          <w:b w:val="0"/>
          <w:i w:val="0"/>
          <w:strike w:val="0"/>
          <w:color w:val="auto"/>
          <w:sz w:val="22"/>
          <w:highlight w:val="none"/>
          <w:u w:val="none"/>
          <w:vertAlign w:val="baseline"/>
          <w:rtl w:val="0"/>
        </w:rPr>
        <w:t xml:space="preserve"> angerechnete Preis darf die Beschaffungskosten nicht übersteigen.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Die Verabreichung von geistigen Getränken an Kinder als Entgelt für ihre Arbeit ist untersagt. Gebrannte geistige Getränke und Tabak dürfen während oder </w:t>
      </w:r>
      <w:r>
        <w:rPr>
          <w:rFonts w:ascii="Aptos" w:eastAsia="Aptos" w:hAnsi="Aptos" w:cs="Aptos"/>
          <w:b w:val="0"/>
          <w:i w:val="0"/>
          <w:strike w:val="0"/>
          <w:color w:val="auto"/>
          <w:sz w:val="22"/>
          <w:highlight w:val="none"/>
          <w:u w:val="none"/>
          <w:vertAlign w:val="baseline"/>
          <w:rtl w:val="0"/>
        </w:rPr>
        <w:t>anläßlich</w:t>
      </w:r>
      <w:r>
        <w:rPr>
          <w:rFonts w:ascii="Aptos" w:eastAsia="Aptos" w:hAnsi="Aptos" w:cs="Aptos"/>
          <w:b w:val="0"/>
          <w:i w:val="0"/>
          <w:strike w:val="0"/>
          <w:color w:val="auto"/>
          <w:sz w:val="22"/>
          <w:highlight w:val="none"/>
          <w:u w:val="none"/>
          <w:vertAlign w:val="baseline"/>
          <w:rtl w:val="0"/>
        </w:rPr>
        <w:t xml:space="preserve"> der Arbeit überhaupt nicht verabreicht werden.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7 — Altersgrenze für die Verwendung von Kindern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Verwendung von Kindern vor dem vollendeten zwölften Lebensjahr ist verboten.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Nur in der Landwirtschaft und im Haushalt dürfen Kinder schon nach dem vollendeten zehnten Lebensjahr zu leichten Arbeiten verwendet werden.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8 — Nachtruhe</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In der Landwirtschaft und im Haushalt ist den Kindern während der Nachtzeit eine ununterbrochene Ruhe von 10 Stunden im Winter (in den Monaten Oktober bis einschließlich März) und von 9 Stunden im Sommer (in den Monaten April bis einschließlich September) zu gewähren.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Als Zeit der Nachtruhe haben im Winter die Stunden zwischen 8 Uhr abends und 6 Uhr morgens, im Sommer die Stunden zwischen 9 Uhr abends und 5 Uhr morgens zu gelten; die Landesregierungen werden ermächtigt, abweichend von dieser Regel, ohne Verkürzung des gesetzlich bestimmten Ausmaßes der ununterbrochenen Nachtruhe, eine andere Abgrenzung des letzteren festzusetzen.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Im übrigen Zweige</w:t>
      </w:r>
      <w:r>
        <w:rPr>
          <w:rFonts w:ascii="Aptos" w:eastAsia="Aptos" w:hAnsi="Aptos" w:cs="Aptos"/>
          <w:b w:val="0"/>
          <w:i w:val="0"/>
          <w:strike w:val="0"/>
          <w:color w:val="auto"/>
          <w:sz w:val="22"/>
          <w:highlight w:val="none"/>
          <w:u w:val="none"/>
          <w:vertAlign w:val="baseline"/>
          <w:rtl w:val="0"/>
        </w:rPr>
        <w:t xml:space="preserve"> der Kinderarbeit ist die Beschäftigung der Kinder zwischen 8 Uhr abends und 6 Uhr morgens verboten.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9 — Verwendung an Schul- und schulfreien Tagen; Tagesruhe</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An Schultagen dürfen Kinder nicht länger als drei Stunden verwendet werden. Die Verwendung vor dem Vormittagsunterricht und während der dem Nachmittagsunterricht unmittelbar vorangehenden zwei Stunden </w:t>
      </w:r>
      <w:r>
        <w:rPr>
          <w:rFonts w:ascii="Aptos" w:eastAsia="Aptos" w:hAnsi="Aptos" w:cs="Aptos"/>
          <w:b w:val="0"/>
          <w:i w:val="0"/>
          <w:strike w:val="0"/>
          <w:color w:val="auto"/>
          <w:sz w:val="22"/>
          <w:highlight w:val="none"/>
          <w:u w:val="none"/>
          <w:vertAlign w:val="baseline"/>
          <w:rtl w:val="0"/>
        </w:rPr>
        <w:t>ist</w:t>
      </w:r>
      <w:r>
        <w:rPr>
          <w:rFonts w:ascii="Aptos" w:eastAsia="Aptos" w:hAnsi="Aptos" w:cs="Aptos"/>
          <w:b w:val="0"/>
          <w:i w:val="0"/>
          <w:strike w:val="0"/>
          <w:color w:val="auto"/>
          <w:sz w:val="22"/>
          <w:highlight w:val="none"/>
          <w:u w:val="none"/>
          <w:vertAlign w:val="baseline"/>
          <w:rtl w:val="0"/>
        </w:rPr>
        <w:t xml:space="preserve"> verboten.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In der Landwirtschaft und im Haushalt beschränkt sich das Verbot allgemein auf die dem Unterricht unmittelbar vorangehenden zwei Stunden. Nach </w:t>
      </w:r>
      <w:r>
        <w:rPr>
          <w:rFonts w:ascii="Aptos" w:eastAsia="Aptos" w:hAnsi="Aptos" w:cs="Aptos"/>
          <w:b w:val="0"/>
          <w:i w:val="0"/>
          <w:strike w:val="0"/>
          <w:color w:val="auto"/>
          <w:sz w:val="22"/>
          <w:highlight w:val="none"/>
          <w:u w:val="none"/>
          <w:vertAlign w:val="baseline"/>
          <w:rtl w:val="0"/>
        </w:rPr>
        <w:t>Schluß</w:t>
      </w:r>
      <w:r>
        <w:rPr>
          <w:rFonts w:ascii="Aptos" w:eastAsia="Aptos" w:hAnsi="Aptos" w:cs="Aptos"/>
          <w:b w:val="0"/>
          <w:i w:val="0"/>
          <w:strike w:val="0"/>
          <w:color w:val="auto"/>
          <w:sz w:val="22"/>
          <w:highlight w:val="none"/>
          <w:u w:val="none"/>
          <w:vertAlign w:val="baseline"/>
          <w:rtl w:val="0"/>
        </w:rPr>
        <w:t xml:space="preserve"> des Unterrichtes ist eine Stunde arbeitsfrei zu halten.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An schulfreien Tagen darf die Arbeit der Kinder nicht länger als vier, in der Landwirtschaft und im Haushalt nicht länger als sechs Stunden dauern.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Verwendung an Sonntagen und an den für das Glaubensbekenntnis des Kindes gebotenen Feiertagen ist verboten.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10 — Ausnahmen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Auf unaufschiebbare Arbeiten vorübergehender Natur, die aus öffentlichen Rücksichten oder in Notfällen (in der Landwirtschaft insbesondere zur Sicherung der gefährdeten Ernte) vorgenommen werden müssen, finden die Vorschriften über die Nachtruhe, über die Beschränkung der Arbeitszeit und über die Sonn- und Feiertagsruhe (§§ 8 und 9) keine Anwendung.</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In der Landwirtschaft und im Haushalt ist es gestattet, die Kinder an Sonn- und gebotenen Feiertagen auch regelmäßig zu unaufschiebbaren Verrichtungen heranzuziehen.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11 — Verwendung im Gast- und Schankgewerbe</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Im Betriebe</w:t>
      </w:r>
      <w:r>
        <w:rPr>
          <w:rFonts w:ascii="Aptos" w:eastAsia="Aptos" w:hAnsi="Aptos" w:cs="Aptos"/>
          <w:b w:val="0"/>
          <w:i w:val="0"/>
          <w:strike w:val="0"/>
          <w:color w:val="auto"/>
          <w:sz w:val="22"/>
          <w:highlight w:val="none"/>
          <w:u w:val="none"/>
          <w:vertAlign w:val="baseline"/>
          <w:rtl w:val="0"/>
        </w:rPr>
        <w:t xml:space="preserve"> des Gast- und Schankgewerbes dürfen Kinder insbesondere nicht bei dem Anfüllen der Getränke und bei der Bedienung der Gäste verwendet werden.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12 — Beschäftigung bei öffentlichen Schaustellungen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Bei öffentlichen Schaustellungen und Aufführungen dürfen Kinder weder verwendet noch sonst beschäftigt werden.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Wenn ein besonderes Interesse des Unterrichtes, der Kunst oder Wissenschaft vorliegt, kann die Bezirksschulbehörde im einzelnen Falle nach Anhörung der Schulleitung eine Ausnahme gestatten und auch von der Beobachtung der in den §§ 8 und 9 vorgesehenen Verbote Nachsicht erteilen.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13 — Verwendung von Kindern in der Heimarbeit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Auf die Arbeitsräume, in denen Kinder zur Heimarbeit verwendet werden, finden die Vorschriften des § 74 der Gewerbeordnung Anwendung.</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14 — Beiträge aus öffentlichen Mitteln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Beiträge aus öffentlichen Mitteln, die dürftigen Personen gewährt werden, gegen den Verzicht, ihre Kinder zur Arbeit zu verwenden, gelten nicht als Armenunterstützung.</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15 — Anzeigepflicht bei Verwendung fremder Kinder</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Wer fremde Kinder verwendet, hat dies der Gemeindebehörde seines Wohnsitzes ungesäumt unter Angabe der Art des Betriebes und der Verwendung sowie der allenfallsigen Arbeitsstätte der Kinder anzuzeigen.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Er hat ein fortlaufend richtig geführtes Verzeichnis der verwendeten Kinder anzulegen und es zur jederzeitigen Einsicht der berufenen Aufsichtsorgane bereitzuhalten.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Bei der Kinderarbeit in der Landwirtschaft tritt die Pflicht zur Anzeige und zur Führung des Verzeichnisses erst dann ein, wenn die Verwendung länger als zwei aufeinanderfolgende Wochen dauert.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16 — Arbeitskarte</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Wer fremde Kinder verwenden will — in der Landwirtschaft, wenn die Verwendung länger als zwei aufeinanderfolgende Wochen dauern soll —, hat vorher bei der Gemeindebehörde für jedes Kind eine besondere Arbeitskarte anzusprechen.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Arbeitskarten werden von der Gemeindebehörde des Aufenthaltsortes des Kindes nach Anhörung seines gesetzlichen Vertreters und der zuständigen Schulleitung kosten- und stempelfrei ausgefolgt.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Die einzelne Arbeitskarte wird höchstens auf ein Jahr ausgestellt; bei längerer Dauer des Arbeitsverhältnisses </w:t>
      </w:r>
      <w:r>
        <w:rPr>
          <w:rFonts w:ascii="Aptos" w:eastAsia="Aptos" w:hAnsi="Aptos" w:cs="Aptos"/>
          <w:b w:val="0"/>
          <w:i w:val="0"/>
          <w:strike w:val="0"/>
          <w:color w:val="auto"/>
          <w:sz w:val="22"/>
          <w:highlight w:val="none"/>
          <w:u w:val="none"/>
          <w:vertAlign w:val="baseline"/>
          <w:rtl w:val="0"/>
        </w:rPr>
        <w:t>muß</w:t>
      </w:r>
      <w:r>
        <w:rPr>
          <w:rFonts w:ascii="Aptos" w:eastAsia="Aptos" w:hAnsi="Aptos" w:cs="Aptos"/>
          <w:b w:val="0"/>
          <w:i w:val="0"/>
          <w:strike w:val="0"/>
          <w:color w:val="auto"/>
          <w:sz w:val="22"/>
          <w:highlight w:val="none"/>
          <w:u w:val="none"/>
          <w:vertAlign w:val="baseline"/>
          <w:rtl w:val="0"/>
        </w:rPr>
        <w:t xml:space="preserve"> vor Ablauf des Jahres ihre Erneuerung angesprochen werden.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Hegt die Gemeindebehörde oder die von ihr vernommene Schulleitung Zweifel an der körperlichen oder geistigen Eignung des Kindes zu der betreffenden Arbeit, so ist auf Kosten des Arbeitgebers die amtsärztliche Untersuchung des Kindes zu veranlassen.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Die Arbeitskarte ist zu verweigern, wenn die Arbeit nach dem Gutachten der Schulleitung oder des Arztes für die Sittlichkeit oder die körperliche oder geistige Entwicklung des Kindes schädlich ist oder wenn eine derartige Gefährdung mit Rücksicht auf die Person des </w:t>
      </w:r>
      <w:r>
        <w:rPr>
          <w:rFonts w:ascii="Aptos" w:eastAsia="Aptos" w:hAnsi="Aptos" w:cs="Aptos"/>
          <w:b w:val="0"/>
          <w:i w:val="0"/>
          <w:strike w:val="0"/>
          <w:color w:val="auto"/>
          <w:sz w:val="22"/>
          <w:highlight w:val="none"/>
          <w:u w:val="none"/>
          <w:vertAlign w:val="baseline"/>
          <w:rtl w:val="0"/>
        </w:rPr>
        <w:t>Arbeitgebers zu befürchten ist. Beschwerden gegen die Verweigerung können innerhalb 14 Tagen bei der der Gemeindebehörde vorgesetzten politischen Behörde eingebracht werden, welche endgültig entscheidet.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Der Arbeitgeber </w:t>
      </w:r>
      <w:r>
        <w:rPr>
          <w:rFonts w:ascii="Aptos" w:eastAsia="Aptos" w:hAnsi="Aptos" w:cs="Aptos"/>
          <w:b w:val="0"/>
          <w:i w:val="0"/>
          <w:strike w:val="0"/>
          <w:color w:val="auto"/>
          <w:sz w:val="22"/>
          <w:highlight w:val="none"/>
          <w:u w:val="none"/>
          <w:vertAlign w:val="baseline"/>
          <w:rtl w:val="0"/>
        </w:rPr>
        <w:t>muß</w:t>
      </w:r>
      <w:r>
        <w:rPr>
          <w:rFonts w:ascii="Aptos" w:eastAsia="Aptos" w:hAnsi="Aptos" w:cs="Aptos"/>
          <w:b w:val="0"/>
          <w:i w:val="0"/>
          <w:strike w:val="0"/>
          <w:color w:val="auto"/>
          <w:sz w:val="22"/>
          <w:highlight w:val="none"/>
          <w:u w:val="none"/>
          <w:vertAlign w:val="baseline"/>
          <w:rtl w:val="0"/>
        </w:rPr>
        <w:t xml:space="preserve"> die Arbeitskarte während des Arbeitsverhältnisses aufbewahren und den berufenen Aufsichtsorganen (§ 17) auf Verlangen vorweisen.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Wenn das Arbeitsverhältnis gelöst wird oder das verwendete Kind aus dem Kindesalter tritt, so ist sie an dessen gesetzlichen Vertreter auszufolgen oder bei der Gemeindebehörde zu hinterlegen.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näheren Bestimmungen über Form und Inhalt der Arbeitskarten werden vom Staatsamt für soziale Fürsorge erlassen. Die Vorschriften der Gewerbeordnung bleiben durch diese Anordnungen unberührt.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17 — Aufsicht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Beobachtung der Vorschriften dieses Gesetzes ist durch die politischen Behörden erster Instanz zu überwachen.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Außerdem werden zur Überwachung der Kinderarbeit besondere Inspektionsorgane bestellt, denen vor allem die Beaufsichtigung jener Betriebe obliegt, in denen Kinder verwendet werden.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Auch können die Landesregierungen für die Gemeinden oder Bezirke besondere Kommissionen zur Überwachung der Kinderarbeit, zur Erstattung von Gutachten und Anträgen (§ 22) einsetzen.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Zur Unterstützung der politischen Behörden wie der Inspektionsorgane sind die Organisationen für Kinderschutz und Jugendfürsorge heranzuziehen. Die näheren Bestimmungen sind vom Staatsamt für soziale Fürsorge zu erlassen.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Gemeindebehörden, Schulleitungen und Vormundschaftsräte sowie die Gewerbeinspektoren sind verpflichtet, im Rahmen ihres Wirkungskreises alle Aufsichtsorgane des Kinderschutzes bei der Erfüllung ihrer Aufgaben zu unterstützen.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Lehrer an öffentlichen und privaten Schulen, die Ärzte, die Organe der Seelsorge und der öffentlichen und privaten Jugendfürsorge, die Funktionäre aller jener Vereine und sonstigen Körperschaften, in deren Wirkungskreis Angelegenheiten der Jugendfürsorge im weitesten Sinne des Wortes fallen, sind insbesondere berufen, Wahrnehmungen über die Verletzung von Vorschriften dieses Gesetzes den zuständigen Behörden und Organen mitzuteilen; auf Verlangen der politischen Behörden sind sie verpflichtet, Auskünfte über die Kinderarbeit im allgemeinen und über besondere Fälle der Verwendung von Kindern zu erteilen.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Gelangt die politische Behörde zur Kenntnis von </w:t>
      </w:r>
      <w:r>
        <w:rPr>
          <w:rFonts w:ascii="Aptos" w:eastAsia="Aptos" w:hAnsi="Aptos" w:cs="Aptos"/>
          <w:b w:val="0"/>
          <w:i w:val="0"/>
          <w:strike w:val="0"/>
          <w:color w:val="auto"/>
          <w:sz w:val="22"/>
          <w:highlight w:val="none"/>
          <w:u w:val="none"/>
          <w:vertAlign w:val="baseline"/>
          <w:rtl w:val="0"/>
        </w:rPr>
        <w:t>Mißständen</w:t>
      </w:r>
      <w:r>
        <w:rPr>
          <w:rFonts w:ascii="Aptos" w:eastAsia="Aptos" w:hAnsi="Aptos" w:cs="Aptos"/>
          <w:b w:val="0"/>
          <w:i w:val="0"/>
          <w:strike w:val="0"/>
          <w:color w:val="auto"/>
          <w:sz w:val="22"/>
          <w:highlight w:val="none"/>
          <w:u w:val="none"/>
          <w:vertAlign w:val="baseline"/>
          <w:rtl w:val="0"/>
        </w:rPr>
        <w:t>, so hat sie entsprechende Abhilfe zu treffen. Sie kann die Arbeitskarte entziehen, die Verwendung des Kindes untersagen oder an bestimmte Bedingungen knüpfen, erforderlichenfalls die Strafamtshandlung einleiten.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18 — Strafbestimmungen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Übertretungen der Vorschriften dieses Gesetzes werden, wenn sie nicht nach anderen Gesetzen einer strengeren Strafe unterliegen, von den politischen Behörden mit Geldstrafen bis zu 1000 Kronen oder mit Arrest bis zu zwei Monaten, die gesetzwidrige Verwendung eigener Kinder mit Verweis, bei erschwerenden Umständen mit Geldstrafen bis zu 300 Kronen oder mit Arrest bis zu 14 Tagen bestraft.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Wer einen anderen zu einer Übertretung dieses Gesetzes anstiftet oder bei ihrer Ausübung mitwirkt, unterliegt den gleichen Strafen wie der Täter.</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Ersatzstrafe für eine uneinbringliche Geldstrafe darf das Höchstmaß der daneben angedrohten Freiheitsstrafe nicht übersteigen.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politische Behörde kann dem Straffälligen für eine bestimmte Zeit oder für immer die Verwendung fremder Kinder untersagen.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Sie kann diese Verwendung auch Personen verbieten, die von </w:t>
      </w:r>
      <w:r>
        <w:rPr>
          <w:rFonts w:ascii="Aptos" w:eastAsia="Aptos" w:hAnsi="Aptos" w:cs="Aptos"/>
          <w:b w:val="0"/>
          <w:i w:val="0"/>
          <w:strike w:val="0"/>
          <w:color w:val="auto"/>
          <w:sz w:val="22"/>
          <w:highlight w:val="none"/>
          <w:u w:val="none"/>
          <w:vertAlign w:val="baseline"/>
          <w:rtl w:val="0"/>
        </w:rPr>
        <w:t>einem Gerichte</w:t>
      </w:r>
      <w:r>
        <w:rPr>
          <w:rFonts w:ascii="Aptos" w:eastAsia="Aptos" w:hAnsi="Aptos" w:cs="Aptos"/>
          <w:b w:val="0"/>
          <w:i w:val="0"/>
          <w:strike w:val="0"/>
          <w:color w:val="auto"/>
          <w:sz w:val="22"/>
          <w:highlight w:val="none"/>
          <w:u w:val="none"/>
          <w:vertAlign w:val="baseline"/>
          <w:rtl w:val="0"/>
        </w:rPr>
        <w:t xml:space="preserve"> wegen strafbarer Handlungen gegen die Sittlichkeit oder wegen Verletzung oder Gefährdung Unmündiger oder Jugendlicher oder von der Gewerbebehörde wegen gesetzwidriger Verwendung oder Behandlung von Kindern bestraft worden sind. Übertretungen eines solchen Verbotes werden ebenso bestraft wie Übertretungen der </w:t>
      </w:r>
      <w:r>
        <w:rPr>
          <w:rFonts w:ascii="Aptos" w:eastAsia="Aptos" w:hAnsi="Aptos" w:cs="Aptos"/>
          <w:b w:val="0"/>
          <w:i w:val="0"/>
          <w:strike w:val="0"/>
          <w:color w:val="auto"/>
          <w:sz w:val="22"/>
          <w:highlight w:val="none"/>
          <w:u w:val="none"/>
          <w:vertAlign w:val="baseline"/>
          <w:rtl w:val="0"/>
        </w:rPr>
        <w:t>in diesem Gesetze</w:t>
      </w:r>
      <w:r>
        <w:rPr>
          <w:rFonts w:ascii="Aptos" w:eastAsia="Aptos" w:hAnsi="Aptos" w:cs="Aptos"/>
          <w:b w:val="0"/>
          <w:i w:val="0"/>
          <w:strike w:val="0"/>
          <w:color w:val="auto"/>
          <w:sz w:val="22"/>
          <w:highlight w:val="none"/>
          <w:u w:val="none"/>
          <w:vertAlign w:val="baseline"/>
          <w:rtl w:val="0"/>
        </w:rPr>
        <w:t xml:space="preserve"> enthaltenen Verbote.</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Von jeder Bestrafung wegen einer Übertretung dieses Gesetzes ist die Vormundschaftsbehörde des gefährdeten Kindes zu benachrichtigen.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19 — Verwendung der Geldstrafen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Die </w:t>
      </w:r>
      <w:r>
        <w:rPr>
          <w:rFonts w:ascii="Aptos" w:eastAsia="Aptos" w:hAnsi="Aptos" w:cs="Aptos"/>
          <w:b w:val="0"/>
          <w:i w:val="0"/>
          <w:strike w:val="0"/>
          <w:color w:val="auto"/>
          <w:sz w:val="22"/>
          <w:highlight w:val="none"/>
          <w:u w:val="none"/>
          <w:vertAlign w:val="baseline"/>
          <w:rtl w:val="0"/>
        </w:rPr>
        <w:t>nach diesem Gesetze</w:t>
      </w:r>
      <w:r>
        <w:rPr>
          <w:rFonts w:ascii="Aptos" w:eastAsia="Aptos" w:hAnsi="Aptos" w:cs="Aptos"/>
          <w:b w:val="0"/>
          <w:i w:val="0"/>
          <w:strike w:val="0"/>
          <w:color w:val="auto"/>
          <w:sz w:val="22"/>
          <w:highlight w:val="none"/>
          <w:u w:val="none"/>
          <w:vertAlign w:val="baseline"/>
          <w:rtl w:val="0"/>
        </w:rPr>
        <w:t xml:space="preserve"> verhängten Geldstrafen sind der Gemeinde des Aufenthaltsortes des Straffälligen zuzuweisen und von dieser zu Zwecken der öffentlichen Jugendfürsorge zu verwenden.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20 — Straflosigkeit infolge Verjährung</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Verfolgung wegen einer Übertretung dieses Gesetzes hat ohne weitere Bedingung zu entfallen, wenn der Schuldige nicht binnen sechs Monaten nach der Tat in Untersuchung gezogen worden ist oder wenn seit der letzten Untersuchungshandlung sechs Monate verstrichen sind.</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21 — Vereinbarungen mit anderen Staaten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Regierung wird ermächtigt, Vereinbarungen mit anderen Staaten in Wirksamkeit zu setzen, um die Anwendung der Vorschriften dieses Gesetzes im Auslande sicherzustellen.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22 — Wirksamkeitsbeginn, Übergangsbestimmungen, Ausnahmen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Das Gesetz tritt drei Monate nach seiner Kundmachung in Wirksamkeit.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Für das erste Jahr seiner Wirksamkeit sind die Landesregierungen ermächtigt, soweit nicht andere Vorschriften entgegenstehen, Erleichterungen in der Beobachtung des Gesetzes, welche durch zwingende Umstände begründet sind, einzuräumen.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Außerdem können die politischen Behörden I. Instanz in besonders berücksichtigungswürdigen Fällen nach Anhörung des Ortsschulrates oder der gemäß § 17 Abs. 1 gebildeten Kommission Ausnahmen an den Bestimmungen der §§ 7 und 9 Abs. 2 unter den Vorsichten des § 4 für die Landwirtschaft und den Haushalt gewähren.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23 — Durchführung</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Mit der Durchführung dieses Gesetzes wird das Staatsamt für soziale Fürsorge im Einvernehmen mit den anderen beteiligten Staatsämtern betraut.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Beurkundung: Auf Grund des § 7 des Beschlusses der Provisorischen Nationalversammlung vom 30. Oktober 1918 über die grundlegenden Einrichtungen der Staatsgewalt wird beurkundet,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w:t>
      </w:r>
      <w:r>
        <w:rPr>
          <w:rFonts w:ascii="Aptos" w:eastAsia="Aptos" w:hAnsi="Aptos" w:cs="Aptos"/>
          <w:b w:val="0"/>
          <w:i w:val="0"/>
          <w:strike w:val="0"/>
          <w:color w:val="auto"/>
          <w:sz w:val="22"/>
          <w:highlight w:val="none"/>
          <w:u w:val="none"/>
          <w:vertAlign w:val="baseline"/>
          <w:rtl w:val="0"/>
        </w:rPr>
        <w:t xml:space="preserve">der obige </w:t>
      </w:r>
      <w:r>
        <w:rPr>
          <w:rFonts w:ascii="Aptos" w:eastAsia="Aptos" w:hAnsi="Aptos" w:cs="Aptos"/>
          <w:b w:val="0"/>
          <w:i w:val="0"/>
          <w:strike w:val="0"/>
          <w:color w:val="auto"/>
          <w:sz w:val="22"/>
          <w:highlight w:val="none"/>
          <w:u w:val="none"/>
          <w:vertAlign w:val="baseline"/>
          <w:rtl w:val="0"/>
        </w:rPr>
        <w:t>Beschluß</w:t>
      </w:r>
      <w:r>
        <w:rPr>
          <w:rFonts w:ascii="Aptos" w:eastAsia="Aptos" w:hAnsi="Aptos" w:cs="Aptos"/>
          <w:b w:val="0"/>
          <w:i w:val="0"/>
          <w:strike w:val="0"/>
          <w:color w:val="auto"/>
          <w:sz w:val="22"/>
          <w:highlight w:val="none"/>
          <w:u w:val="none"/>
          <w:vertAlign w:val="baseline"/>
          <w:rtl w:val="0"/>
        </w:rPr>
        <w:t xml:space="preserve"> von der Provisorischen Nationalversammlung am 19. Dezember 1918 </w:t>
      </w:r>
      <w:r>
        <w:rPr>
          <w:rFonts w:ascii="Aptos" w:eastAsia="Aptos" w:hAnsi="Aptos" w:cs="Aptos"/>
          <w:b w:val="0"/>
          <w:i w:val="0"/>
          <w:strike w:val="0"/>
          <w:color w:val="auto"/>
          <w:sz w:val="22"/>
          <w:highlight w:val="none"/>
          <w:u w:val="none"/>
          <w:vertAlign w:val="baseline"/>
          <w:rtl w:val="0"/>
        </w:rPr>
        <w:t>gefaßt</w:t>
      </w:r>
      <w:r>
        <w:rPr>
          <w:rFonts w:ascii="Aptos" w:eastAsia="Aptos" w:hAnsi="Aptos" w:cs="Aptos"/>
          <w:b w:val="0"/>
          <w:i w:val="0"/>
          <w:strike w:val="0"/>
          <w:color w:val="auto"/>
          <w:sz w:val="22"/>
          <w:highlight w:val="none"/>
          <w:u w:val="none"/>
          <w:vertAlign w:val="baseline"/>
          <w:rtl w:val="0"/>
        </w:rPr>
        <w:t xml:space="preserve"> worden ist. — Der Präsident: Häuser m. p. — Der Staatskanzler: Renner m. p. — Der Staatsnotar: Sylvester m. p. — </w:t>
      </w:r>
      <w:r>
        <w:rPr>
          <w:rFonts w:ascii="Aptos" w:eastAsia="Aptos" w:hAnsi="Aptos" w:cs="Aptos"/>
          <w:b w:val="0"/>
          <w:i/>
          <w:strike w:val="0"/>
          <w:color w:val="auto"/>
          <w:sz w:val="22"/>
          <w:highlight w:val="none"/>
          <w:u w:val="none"/>
          <w:vertAlign w:val="baseline"/>
          <w:rtl w:val="0"/>
        </w:rPr>
        <w:t>Wiener Zeitung</w:t>
      </w:r>
      <w:r>
        <w:rPr>
          <w:rFonts w:ascii="Aptos" w:eastAsia="Aptos" w:hAnsi="Aptos" w:cs="Aptos"/>
          <w:b w:val="0"/>
          <w:i w:val="0"/>
          <w:strike w:val="0"/>
          <w:color w:val="auto"/>
          <w:sz w:val="22"/>
          <w:highlight w:val="none"/>
          <w:u w:val="none"/>
          <w:vertAlign w:val="baseline"/>
          <w:rtl w:val="0"/>
        </w:rPr>
        <w:t>, 28. 12. 1918, Seite 4.</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sectPr>
      <w:pgSz w:w="12240" w:h="15840"/>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