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F6" w:rsidRDefault="00DB06F6"/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812"/>
        <w:gridCol w:w="6096"/>
      </w:tblGrid>
      <w:tr w:rsidR="009F5EDB" w:rsidTr="0070300F">
        <w:tc>
          <w:tcPr>
            <w:tcW w:w="11908" w:type="dxa"/>
            <w:gridSpan w:val="2"/>
          </w:tcPr>
          <w:p w:rsidR="009F5EDB" w:rsidRPr="009F5EDB" w:rsidRDefault="009F5EDB" w:rsidP="009F5EDB">
            <w:pPr>
              <w:ind w:right="-1100"/>
              <w:rPr>
                <w:sz w:val="18"/>
                <w:szCs w:val="18"/>
              </w:rPr>
            </w:pPr>
            <w:r w:rsidRPr="009F5EDB">
              <w:rPr>
                <w:sz w:val="18"/>
                <w:szCs w:val="18"/>
              </w:rPr>
              <w:t xml:space="preserve">A </w:t>
            </w:r>
            <w:r w:rsidRPr="009F5EDB">
              <w:rPr>
                <w:rStyle w:val="Strong"/>
                <w:sz w:val="18"/>
                <w:szCs w:val="18"/>
              </w:rPr>
              <w:t>discriminative model</w:t>
            </w:r>
            <w:r w:rsidRPr="009F5EDB">
              <w:rPr>
                <w:sz w:val="18"/>
                <w:szCs w:val="18"/>
              </w:rPr>
              <w:t xml:space="preserve"> learns the </w:t>
            </w:r>
            <w:r w:rsidRPr="009F5EDB">
              <w:rPr>
                <w:rStyle w:val="Strong"/>
                <w:sz w:val="18"/>
                <w:szCs w:val="18"/>
              </w:rPr>
              <w:t>boundary between classes directly</w:t>
            </w:r>
            <w:r w:rsidRPr="009F5EDB">
              <w:rPr>
                <w:sz w:val="18"/>
                <w:szCs w:val="18"/>
              </w:rPr>
              <w:t xml:space="preserve">. </w:t>
            </w:r>
          </w:p>
          <w:p w:rsidR="009F5EDB" w:rsidRPr="009F5EDB" w:rsidRDefault="009F5EDB" w:rsidP="009F5EDB">
            <w:pPr>
              <w:ind w:right="-1100"/>
              <w:rPr>
                <w:sz w:val="18"/>
                <w:szCs w:val="18"/>
              </w:rPr>
            </w:pPr>
            <w:r w:rsidRPr="009F5EDB">
              <w:rPr>
                <w:sz w:val="18"/>
                <w:szCs w:val="18"/>
              </w:rPr>
              <w:t>It models the conditional probability:</w:t>
            </w:r>
            <w:r w:rsidRPr="009F5EDB">
              <w:rPr>
                <w:sz w:val="18"/>
                <w:szCs w:val="18"/>
              </w:rPr>
              <w:t xml:space="preserve">   P(Y/X) </w:t>
            </w:r>
            <w:r w:rsidRPr="009F5EDB">
              <w:rPr>
                <w:sz w:val="18"/>
                <w:szCs w:val="18"/>
              </w:rPr>
              <w:t xml:space="preserve">meaning, given the input </w:t>
            </w:r>
            <w:r w:rsidRPr="009F5EDB">
              <w:rPr>
                <w:rStyle w:val="katex-mathml"/>
                <w:sz w:val="18"/>
                <w:szCs w:val="18"/>
              </w:rPr>
              <w:t>X</w:t>
            </w:r>
            <w:r w:rsidRPr="009F5EDB">
              <w:rPr>
                <w:sz w:val="18"/>
                <w:szCs w:val="18"/>
              </w:rPr>
              <w:t xml:space="preserve">, it predicts the class </w:t>
            </w:r>
            <w:r w:rsidRPr="009F5EDB">
              <w:rPr>
                <w:rStyle w:val="katex-mathml"/>
                <w:sz w:val="18"/>
                <w:szCs w:val="18"/>
              </w:rPr>
              <w:t>Y</w:t>
            </w:r>
            <w:r w:rsidRPr="009F5EDB">
              <w:rPr>
                <w:sz w:val="18"/>
                <w:szCs w:val="18"/>
              </w:rPr>
              <w:t>.</w:t>
            </w:r>
          </w:p>
        </w:tc>
      </w:tr>
      <w:tr w:rsidR="009F5EDB" w:rsidRPr="009F5EDB" w:rsidTr="0070300F">
        <w:tc>
          <w:tcPr>
            <w:tcW w:w="5812" w:type="dxa"/>
          </w:tcPr>
          <w:p w:rsidR="009F5EDB" w:rsidRPr="009F5EDB" w:rsidRDefault="009F5EDB">
            <w:pPr>
              <w:rPr>
                <w:sz w:val="18"/>
                <w:szCs w:val="18"/>
              </w:rPr>
            </w:pPr>
            <w:r w:rsidRPr="009F5EDB">
              <w:rPr>
                <w:sz w:val="18"/>
                <w:szCs w:val="18"/>
              </w:rPr>
              <w:t>Model                                 what it learns</w:t>
            </w:r>
          </w:p>
          <w:p w:rsidR="009F5EDB" w:rsidRPr="009F5EDB" w:rsidRDefault="009F5EDB">
            <w:pPr>
              <w:rPr>
                <w:sz w:val="18"/>
                <w:szCs w:val="18"/>
              </w:rPr>
            </w:pPr>
            <w:r w:rsidRPr="009F5EDB">
              <w:rPr>
                <w:sz w:val="18"/>
                <w:szCs w:val="18"/>
              </w:rPr>
              <w:t xml:space="preserve">Logistic regression              </w:t>
            </w:r>
            <w:r w:rsidRPr="009F5EDB">
              <w:rPr>
                <w:sz w:val="18"/>
                <w:szCs w:val="18"/>
              </w:rPr>
              <w:t xml:space="preserve">Directly models </w:t>
            </w:r>
            <w:r w:rsidRPr="009F5EDB">
              <w:rPr>
                <w:rStyle w:val="katex-mathml"/>
                <w:sz w:val="18"/>
                <w:szCs w:val="18"/>
              </w:rPr>
              <w:t>P(Y=1</w:t>
            </w:r>
            <w:r w:rsidRPr="009F5EDB">
              <w:rPr>
                <w:rStyle w:val="katex-mathml"/>
                <w:rFonts w:ascii="Cambria Math" w:hAnsi="Cambria Math" w:cs="Cambria Math"/>
                <w:sz w:val="18"/>
                <w:szCs w:val="18"/>
              </w:rPr>
              <w:t>∣</w:t>
            </w:r>
            <w:r w:rsidRPr="009F5EDB">
              <w:rPr>
                <w:rStyle w:val="katex-mathml"/>
                <w:sz w:val="18"/>
                <w:szCs w:val="18"/>
              </w:rPr>
              <w:t>X)</w:t>
            </w:r>
          </w:p>
          <w:p w:rsidR="009F5EDB" w:rsidRPr="009F5EDB" w:rsidRDefault="009F5EDB">
            <w:pPr>
              <w:rPr>
                <w:sz w:val="18"/>
                <w:szCs w:val="18"/>
              </w:rPr>
            </w:pPr>
            <w:r w:rsidRPr="009F5EDB">
              <w:rPr>
                <w:sz w:val="18"/>
                <w:szCs w:val="18"/>
              </w:rPr>
              <w:t xml:space="preserve">SVM                                      </w:t>
            </w:r>
            <w:r w:rsidRPr="009F5EDB">
              <w:rPr>
                <w:sz w:val="18"/>
                <w:szCs w:val="18"/>
              </w:rPr>
              <w:t>Learns separating boundary between classes</w:t>
            </w:r>
          </w:p>
          <w:p w:rsidR="009F5EDB" w:rsidRPr="009F5EDB" w:rsidRDefault="009F5EDB" w:rsidP="0070300F">
            <w:pPr>
              <w:rPr>
                <w:sz w:val="18"/>
                <w:szCs w:val="18"/>
              </w:rPr>
            </w:pPr>
            <w:r w:rsidRPr="009F5EDB">
              <w:rPr>
                <w:sz w:val="18"/>
                <w:szCs w:val="18"/>
              </w:rPr>
              <w:t xml:space="preserve">Neural Networks                </w:t>
            </w:r>
            <w:r w:rsidRPr="009F5EDB">
              <w:rPr>
                <w:sz w:val="18"/>
                <w:szCs w:val="18"/>
              </w:rPr>
              <w:t xml:space="preserve">Approximate </w:t>
            </w:r>
            <w:r w:rsidRPr="009F5EDB">
              <w:rPr>
                <w:rStyle w:val="katex-mathml"/>
                <w:sz w:val="18"/>
                <w:szCs w:val="18"/>
              </w:rPr>
              <w:t>P(Y</w:t>
            </w:r>
            <w:r w:rsidRPr="009F5EDB">
              <w:rPr>
                <w:rStyle w:val="katex-mathml"/>
                <w:rFonts w:ascii="Cambria Math" w:hAnsi="Cambria Math" w:cs="Cambria Math"/>
                <w:sz w:val="18"/>
                <w:szCs w:val="18"/>
              </w:rPr>
              <w:t>∣</w:t>
            </w:r>
            <w:r w:rsidRPr="009F5EDB">
              <w:rPr>
                <w:rStyle w:val="katex-mathml"/>
                <w:sz w:val="18"/>
                <w:szCs w:val="18"/>
              </w:rPr>
              <w:t>X)</w:t>
            </w:r>
            <w:r w:rsidRPr="009F5EDB">
              <w:rPr>
                <w:sz w:val="18"/>
                <w:szCs w:val="18"/>
              </w:rPr>
              <w:t xml:space="preserve"> or direct decision boundary</w:t>
            </w:r>
          </w:p>
        </w:tc>
        <w:tc>
          <w:tcPr>
            <w:tcW w:w="6096" w:type="dxa"/>
          </w:tcPr>
          <w:p w:rsidR="009F5EDB" w:rsidRPr="009F5EDB" w:rsidRDefault="009F5EDB" w:rsidP="009F5EDB">
            <w:pPr>
              <w:outlineLvl w:val="2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F5EDB">
              <w:rPr>
                <w:rFonts w:eastAsia="Times New Roman" w:cstheme="minorHAnsi"/>
                <w:b/>
                <w:bCs/>
                <w:sz w:val="18"/>
                <w:szCs w:val="18"/>
              </w:rPr>
              <w:t>Advantages:</w:t>
            </w:r>
          </w:p>
          <w:p w:rsidR="009F5EDB" w:rsidRPr="009F5EDB" w:rsidRDefault="009F5EDB" w:rsidP="009F5EDB">
            <w:pPr>
              <w:numPr>
                <w:ilvl w:val="0"/>
                <w:numId w:val="1"/>
              </w:numPr>
              <w:tabs>
                <w:tab w:val="clear" w:pos="360"/>
                <w:tab w:val="num" w:pos="177"/>
              </w:tabs>
              <w:ind w:left="177" w:hanging="142"/>
              <w:rPr>
                <w:rFonts w:eastAsia="Times New Roman" w:cstheme="minorHAnsi"/>
                <w:sz w:val="18"/>
                <w:szCs w:val="18"/>
              </w:rPr>
            </w:pPr>
            <w:r w:rsidRPr="009F5EDB">
              <w:rPr>
                <w:rFonts w:eastAsia="Times New Roman" w:cstheme="minorHAnsi"/>
                <w:sz w:val="18"/>
                <w:szCs w:val="18"/>
              </w:rPr>
              <w:t xml:space="preserve">Often </w:t>
            </w:r>
            <w:r w:rsidRPr="009F5EDB">
              <w:rPr>
                <w:rFonts w:eastAsia="Times New Roman" w:cstheme="minorHAnsi"/>
                <w:b/>
                <w:bCs/>
                <w:sz w:val="18"/>
                <w:szCs w:val="18"/>
              </w:rPr>
              <w:t>more accurate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 xml:space="preserve"> for classification.</w:t>
            </w:r>
          </w:p>
          <w:p w:rsidR="009F5EDB" w:rsidRPr="009F5EDB" w:rsidRDefault="009F5EDB" w:rsidP="009F5EDB">
            <w:pPr>
              <w:numPr>
                <w:ilvl w:val="0"/>
                <w:numId w:val="1"/>
              </w:numPr>
              <w:tabs>
                <w:tab w:val="clear" w:pos="360"/>
                <w:tab w:val="num" w:pos="177"/>
              </w:tabs>
              <w:ind w:left="177" w:hanging="142"/>
              <w:rPr>
                <w:rFonts w:eastAsia="Times New Roman" w:cstheme="minorHAnsi"/>
                <w:sz w:val="18"/>
                <w:szCs w:val="18"/>
              </w:rPr>
            </w:pPr>
            <w:r w:rsidRPr="009F5EDB">
              <w:rPr>
                <w:rFonts w:eastAsia="Times New Roman" w:cstheme="minorHAnsi"/>
                <w:b/>
                <w:bCs/>
                <w:sz w:val="18"/>
                <w:szCs w:val="18"/>
              </w:rPr>
              <w:t>Less computationally expensive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>, fewer assumptions.</w:t>
            </w:r>
          </w:p>
          <w:p w:rsidR="009F5EDB" w:rsidRPr="009F5EDB" w:rsidRDefault="009F5EDB" w:rsidP="009F5EDB">
            <w:pPr>
              <w:numPr>
                <w:ilvl w:val="0"/>
                <w:numId w:val="1"/>
              </w:numPr>
              <w:tabs>
                <w:tab w:val="clear" w:pos="360"/>
                <w:tab w:val="num" w:pos="177"/>
              </w:tabs>
              <w:ind w:left="177" w:hanging="142"/>
              <w:rPr>
                <w:rFonts w:eastAsia="Times New Roman" w:cstheme="minorHAnsi"/>
                <w:sz w:val="18"/>
                <w:szCs w:val="18"/>
              </w:rPr>
            </w:pPr>
            <w:r w:rsidRPr="009F5EDB">
              <w:rPr>
                <w:rFonts w:eastAsia="Times New Roman" w:cstheme="minorHAnsi"/>
                <w:sz w:val="18"/>
                <w:szCs w:val="18"/>
              </w:rPr>
              <w:t xml:space="preserve">Works well when we only care about </w:t>
            </w:r>
            <w:r w:rsidRPr="009F5EDB">
              <w:rPr>
                <w:rFonts w:eastAsia="Times New Roman" w:cstheme="minorHAnsi"/>
                <w:i/>
                <w:iCs/>
                <w:sz w:val="18"/>
                <w:szCs w:val="18"/>
              </w:rPr>
              <w:t>predicting labels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 xml:space="preserve">, not </w:t>
            </w:r>
            <w:r w:rsidRPr="009F5EDB">
              <w:rPr>
                <w:rFonts w:eastAsia="Times New Roman" w:cstheme="minorHAnsi"/>
                <w:i/>
                <w:iCs/>
                <w:sz w:val="18"/>
                <w:szCs w:val="18"/>
              </w:rPr>
              <w:t>understanding data distribution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>.</w:t>
            </w:r>
          </w:p>
          <w:p w:rsidR="009F5EDB" w:rsidRPr="009F5EDB" w:rsidRDefault="009F5EDB" w:rsidP="009F5EDB">
            <w:pPr>
              <w:outlineLvl w:val="2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F5EDB">
              <w:rPr>
                <w:rFonts w:ascii="Segoe UI Symbol" w:eastAsia="Times New Roman" w:hAnsi="Segoe UI Symbol" w:cs="Segoe UI Symbol"/>
                <w:b/>
                <w:bCs/>
                <w:sz w:val="18"/>
                <w:szCs w:val="18"/>
              </w:rPr>
              <w:t>❌</w:t>
            </w:r>
            <w:r w:rsidRPr="009F5EDB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Disadvantage:</w:t>
            </w:r>
          </w:p>
          <w:p w:rsidR="009F5EDB" w:rsidRPr="009F5EDB" w:rsidRDefault="009F5EDB" w:rsidP="009F5EDB">
            <w:pPr>
              <w:numPr>
                <w:ilvl w:val="0"/>
                <w:numId w:val="2"/>
              </w:numPr>
              <w:tabs>
                <w:tab w:val="clear" w:pos="720"/>
                <w:tab w:val="num" w:pos="177"/>
              </w:tabs>
              <w:ind w:left="177" w:hanging="142"/>
              <w:rPr>
                <w:rFonts w:eastAsia="Times New Roman" w:cstheme="minorHAnsi"/>
                <w:sz w:val="18"/>
                <w:szCs w:val="18"/>
              </w:rPr>
            </w:pPr>
            <w:r w:rsidRPr="009F5EDB">
              <w:rPr>
                <w:rFonts w:eastAsia="Times New Roman" w:cstheme="minorHAnsi"/>
                <w:sz w:val="18"/>
                <w:szCs w:val="18"/>
              </w:rPr>
              <w:t xml:space="preserve">Does </w:t>
            </w:r>
            <w:r w:rsidRPr="009F5EDB">
              <w:rPr>
                <w:rFonts w:eastAsia="Times New Roman" w:cstheme="minorHAnsi"/>
                <w:b/>
                <w:bCs/>
                <w:sz w:val="18"/>
                <w:szCs w:val="18"/>
              </w:rPr>
              <w:t>not model the data distribution P(X)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>.</w:t>
            </w:r>
          </w:p>
          <w:p w:rsidR="009F5EDB" w:rsidRPr="009F5EDB" w:rsidRDefault="009F5EDB" w:rsidP="009F5EDB">
            <w:pPr>
              <w:numPr>
                <w:ilvl w:val="0"/>
                <w:numId w:val="2"/>
              </w:numPr>
              <w:tabs>
                <w:tab w:val="clear" w:pos="720"/>
                <w:tab w:val="num" w:pos="177"/>
              </w:tabs>
              <w:ind w:left="177" w:hanging="142"/>
              <w:rPr>
                <w:rFonts w:eastAsia="Times New Roman" w:cstheme="minorHAnsi"/>
                <w:sz w:val="18"/>
                <w:szCs w:val="18"/>
              </w:rPr>
            </w:pPr>
            <w:r w:rsidRPr="009F5EDB">
              <w:rPr>
                <w:rFonts w:eastAsia="Times New Roman" w:cstheme="minorHAnsi"/>
                <w:sz w:val="18"/>
                <w:szCs w:val="18"/>
              </w:rPr>
              <w:t>Cannot generate new realistic data.</w:t>
            </w:r>
          </w:p>
        </w:tc>
      </w:tr>
      <w:tr w:rsidR="009F5EDB" w:rsidTr="0070300F">
        <w:tc>
          <w:tcPr>
            <w:tcW w:w="5812" w:type="dxa"/>
          </w:tcPr>
          <w:p w:rsidR="009F5EDB" w:rsidRPr="0070300F" w:rsidRDefault="009F5EDB" w:rsidP="009F5EDB">
            <w:pPr>
              <w:rPr>
                <w:rFonts w:eastAsia="Times New Roman" w:cstheme="minorHAnsi"/>
                <w:sz w:val="18"/>
                <w:szCs w:val="18"/>
              </w:rPr>
            </w:pPr>
            <w:r w:rsidRPr="009F5EDB">
              <w:rPr>
                <w:rFonts w:eastAsia="Times New Roman" w:cstheme="minorHAnsi"/>
                <w:sz w:val="18"/>
                <w:szCs w:val="18"/>
              </w:rPr>
              <w:t xml:space="preserve">A </w:t>
            </w:r>
            <w:r w:rsidRPr="0070300F">
              <w:rPr>
                <w:rFonts w:eastAsia="Times New Roman" w:cstheme="minorHAnsi"/>
                <w:b/>
                <w:bCs/>
                <w:sz w:val="18"/>
                <w:szCs w:val="18"/>
              </w:rPr>
              <w:t>generative model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 xml:space="preserve"> tries to understand </w:t>
            </w:r>
            <w:r w:rsidRPr="0070300F">
              <w:rPr>
                <w:rFonts w:eastAsia="Times New Roman" w:cstheme="minorHAnsi"/>
                <w:b/>
                <w:bCs/>
                <w:sz w:val="18"/>
                <w:szCs w:val="18"/>
              </w:rPr>
              <w:t>how data is generated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>.</w:t>
            </w:r>
            <w:r w:rsidRPr="009F5EDB">
              <w:rPr>
                <w:rFonts w:eastAsia="Times New Roman" w:cstheme="minorHAnsi"/>
                <w:sz w:val="18"/>
                <w:szCs w:val="18"/>
              </w:rPr>
              <w:br/>
              <w:t xml:space="preserve">It models the </w:t>
            </w:r>
            <w:r w:rsidRPr="0070300F">
              <w:rPr>
                <w:rFonts w:eastAsia="Times New Roman" w:cstheme="minorHAnsi"/>
                <w:b/>
                <w:bCs/>
                <w:sz w:val="18"/>
                <w:szCs w:val="18"/>
              </w:rPr>
              <w:t>joint probability distribution</w:t>
            </w:r>
            <w:r w:rsidRPr="009F5EDB">
              <w:rPr>
                <w:rFonts w:eastAsia="Times New Roman" w:cstheme="minorHAnsi"/>
                <w:sz w:val="18"/>
                <w:szCs w:val="18"/>
              </w:rPr>
              <w:t>:</w:t>
            </w:r>
            <w:r w:rsidRPr="0070300F">
              <w:rPr>
                <w:rFonts w:eastAsia="Times New Roman" w:cstheme="minorHAnsi"/>
                <w:sz w:val="18"/>
                <w:szCs w:val="18"/>
              </w:rPr>
              <w:t xml:space="preserve">  P(X,Y)=P(X</w:t>
            </w:r>
            <w:r w:rsidRPr="0070300F">
              <w:rPr>
                <w:rFonts w:ascii="Cambria Math" w:eastAsia="Times New Roman" w:hAnsi="Cambria Math" w:cs="Cambria Math"/>
                <w:sz w:val="18"/>
                <w:szCs w:val="18"/>
              </w:rPr>
              <w:t>∣</w:t>
            </w:r>
            <w:r w:rsidRPr="0070300F">
              <w:rPr>
                <w:rFonts w:eastAsia="Times New Roman" w:cstheme="minorHAnsi"/>
                <w:sz w:val="18"/>
                <w:szCs w:val="18"/>
              </w:rPr>
              <w:t>Y)</w:t>
            </w:r>
            <w:r w:rsidRPr="0070300F">
              <w:rPr>
                <w:rFonts w:ascii="Cambria Math" w:eastAsia="Times New Roman" w:hAnsi="Cambria Math" w:cs="Cambria Math"/>
                <w:sz w:val="18"/>
                <w:szCs w:val="18"/>
              </w:rPr>
              <w:t>⋅</w:t>
            </w:r>
            <w:r w:rsidRPr="0070300F">
              <w:rPr>
                <w:rFonts w:eastAsia="Times New Roman" w:cstheme="minorHAnsi"/>
                <w:sz w:val="18"/>
                <w:szCs w:val="18"/>
              </w:rPr>
              <w:t>P(Y)</w:t>
            </w:r>
          </w:p>
          <w:p w:rsidR="009F5EDB" w:rsidRPr="0070300F" w:rsidRDefault="0070300F" w:rsidP="009F5ED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>T</w:t>
            </w:r>
            <w:r w:rsidR="009F5EDB" w:rsidRPr="0070300F">
              <w:rPr>
                <w:rFonts w:asciiTheme="minorHAnsi" w:hAnsiTheme="minorHAnsi" w:cstheme="minorHAnsi"/>
                <w:sz w:val="18"/>
                <w:szCs w:val="18"/>
              </w:rPr>
              <w:t>hat means:</w:t>
            </w:r>
          </w:p>
          <w:p w:rsidR="009F5EDB" w:rsidRPr="0070300F" w:rsidRDefault="009F5EDB" w:rsidP="0070300F">
            <w:pPr>
              <w:pStyle w:val="NormalWeb"/>
              <w:numPr>
                <w:ilvl w:val="0"/>
                <w:numId w:val="3"/>
              </w:numPr>
              <w:tabs>
                <w:tab w:val="clear" w:pos="720"/>
                <w:tab w:val="num" w:pos="321"/>
              </w:tabs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It learns how data features look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for each class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70300F">
              <w:rPr>
                <w:rStyle w:val="katex-mathml"/>
                <w:rFonts w:asciiTheme="minorHAnsi" w:hAnsiTheme="minorHAnsi" w:cstheme="minorHAnsi"/>
                <w:sz w:val="18"/>
                <w:szCs w:val="18"/>
              </w:rPr>
              <w:t>P(X</w:t>
            </w:r>
            <w:r w:rsidRPr="0070300F">
              <w:rPr>
                <w:rStyle w:val="katex-mathml"/>
                <w:rFonts w:ascii="Cambria Math" w:hAnsi="Cambria Math" w:cs="Cambria Math"/>
                <w:sz w:val="18"/>
                <w:szCs w:val="18"/>
              </w:rPr>
              <w:t>∣</w:t>
            </w:r>
            <w:r w:rsidRPr="0070300F">
              <w:rPr>
                <w:rStyle w:val="katex-mathml"/>
                <w:rFonts w:asciiTheme="minorHAnsi" w:hAnsiTheme="minorHAnsi" w:cstheme="minorHAnsi"/>
                <w:sz w:val="18"/>
                <w:szCs w:val="18"/>
              </w:rPr>
              <w:t>Y)</w:t>
            </w:r>
            <w:r w:rsidRPr="0070300F">
              <w:rPr>
                <w:rStyle w:val="mclose"/>
                <w:rFonts w:asciiTheme="minorHAnsi" w:eastAsiaTheme="majorEastAsia" w:hAnsiTheme="minorHAnsi" w:cstheme="minorHAnsi"/>
                <w:sz w:val="18"/>
                <w:szCs w:val="18"/>
              </w:rPr>
              <w:t>)</w:t>
            </w:r>
          </w:p>
          <w:p w:rsidR="009F5EDB" w:rsidRPr="0070300F" w:rsidRDefault="009F5EDB" w:rsidP="0070300F">
            <w:pPr>
              <w:pStyle w:val="NormalWeb"/>
              <w:numPr>
                <w:ilvl w:val="0"/>
                <w:numId w:val="3"/>
              </w:numPr>
              <w:tabs>
                <w:tab w:val="clear" w:pos="720"/>
                <w:tab w:val="num" w:pos="321"/>
              </w:tabs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And also how likely each class is </w:t>
            </w:r>
            <w:r w:rsidRPr="0070300F">
              <w:rPr>
                <w:rStyle w:val="katex-mathml"/>
                <w:rFonts w:asciiTheme="minorHAnsi" w:hAnsiTheme="minorHAnsi" w:cstheme="minorHAnsi"/>
                <w:sz w:val="18"/>
                <w:szCs w:val="18"/>
              </w:rPr>
              <w:t>P(Y)</w:t>
            </w:r>
          </w:p>
          <w:p w:rsidR="009F5EDB" w:rsidRPr="0070300F" w:rsidRDefault="009F5EDB" w:rsidP="009F5ED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Then, for prediction it uses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Bayes' rule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:rsidR="009F5EDB" w:rsidRPr="0070300F" w:rsidRDefault="0070300F" w:rsidP="0070300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0300F">
              <w:rPr>
                <w:rFonts w:ascii="Times New Roman" w:eastAsia="Times New Roman" w:hAnsi="Times New Roman" w:cs="Times New Roman"/>
                <w:sz w:val="18"/>
                <w:szCs w:val="18"/>
              </w:rPr>
              <w:t>P(Y</w:t>
            </w:r>
            <w:r w:rsidRPr="0070300F">
              <w:rPr>
                <w:rFonts w:ascii="Cambria Math" w:eastAsia="Times New Roman" w:hAnsi="Cambria Math" w:cs="Cambria Math"/>
                <w:sz w:val="18"/>
                <w:szCs w:val="18"/>
              </w:rPr>
              <w:t>∣</w:t>
            </w:r>
            <w:r w:rsidRPr="0070300F">
              <w:rPr>
                <w:rFonts w:ascii="Times New Roman" w:eastAsia="Times New Roman" w:hAnsi="Times New Roman" w:cs="Times New Roman"/>
                <w:sz w:val="18"/>
                <w:szCs w:val="18"/>
              </w:rPr>
              <w:t>X)=P(X</w:t>
            </w:r>
            <w:r w:rsidRPr="0070300F">
              <w:rPr>
                <w:rFonts w:ascii="Cambria Math" w:eastAsia="Times New Roman" w:hAnsi="Cambria Math" w:cs="Cambria Math"/>
                <w:sz w:val="18"/>
                <w:szCs w:val="18"/>
              </w:rPr>
              <w:t>∣</w:t>
            </w:r>
            <w:r w:rsidRPr="0070300F">
              <w:rPr>
                <w:rFonts w:ascii="Times New Roman" w:eastAsia="Times New Roman" w:hAnsi="Times New Roman" w:cs="Times New Roman"/>
                <w:sz w:val="18"/>
                <w:szCs w:val="18"/>
              </w:rPr>
              <w:t>Y)</w:t>
            </w:r>
            <w:r w:rsidRPr="0070300F">
              <w:rPr>
                <w:rFonts w:ascii="Cambria Math" w:eastAsia="Times New Roman" w:hAnsi="Cambria Math" w:cs="Cambria Math"/>
                <w:sz w:val="18"/>
                <w:szCs w:val="18"/>
              </w:rPr>
              <w:t>⋅</w:t>
            </w:r>
            <w:r w:rsidRPr="0070300F">
              <w:rPr>
                <w:rFonts w:ascii="Times New Roman" w:eastAsia="Times New Roman" w:hAnsi="Times New Roman" w:cs="Times New Roman"/>
                <w:sz w:val="18"/>
                <w:szCs w:val="18"/>
              </w:rPr>
              <w:t>P(Y)​/P(X)</w:t>
            </w:r>
          </w:p>
        </w:tc>
        <w:tc>
          <w:tcPr>
            <w:tcW w:w="6096" w:type="dxa"/>
          </w:tcPr>
          <w:p w:rsidR="0070300F" w:rsidRPr="0070300F" w:rsidRDefault="0070300F" w:rsidP="0070300F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>Advantages:</w:t>
            </w:r>
          </w:p>
          <w:p w:rsidR="0070300F" w:rsidRPr="0070300F" w:rsidRDefault="0070300F" w:rsidP="0070300F">
            <w:pPr>
              <w:pStyle w:val="NormalWeb"/>
              <w:numPr>
                <w:ilvl w:val="0"/>
                <w:numId w:val="4"/>
              </w:numPr>
              <w:tabs>
                <w:tab w:val="clear" w:pos="360"/>
                <w:tab w:val="num" w:pos="177"/>
              </w:tabs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Can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generate new samples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(images, text, etc.).</w:t>
            </w:r>
          </w:p>
          <w:p w:rsidR="0070300F" w:rsidRPr="0070300F" w:rsidRDefault="0070300F" w:rsidP="0070300F">
            <w:pPr>
              <w:pStyle w:val="NormalWeb"/>
              <w:numPr>
                <w:ilvl w:val="0"/>
                <w:numId w:val="4"/>
              </w:numPr>
              <w:tabs>
                <w:tab w:val="clear" w:pos="360"/>
                <w:tab w:val="num" w:pos="177"/>
              </w:tabs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Can handle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missing data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(since it models full data distribution).</w:t>
            </w:r>
          </w:p>
          <w:p w:rsidR="0070300F" w:rsidRPr="0070300F" w:rsidRDefault="0070300F" w:rsidP="0070300F">
            <w:pPr>
              <w:pStyle w:val="NormalWeb"/>
              <w:numPr>
                <w:ilvl w:val="0"/>
                <w:numId w:val="4"/>
              </w:numPr>
              <w:tabs>
                <w:tab w:val="clear" w:pos="360"/>
                <w:tab w:val="num" w:pos="177"/>
              </w:tabs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Useful in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semi-supervised learning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(not all labels needed).</w:t>
            </w:r>
          </w:p>
          <w:p w:rsidR="0070300F" w:rsidRPr="0070300F" w:rsidRDefault="0070300F" w:rsidP="0070300F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="Segoe UI Symbol" w:hAnsi="Segoe UI Symbol" w:cs="Segoe UI Symbol"/>
                <w:sz w:val="18"/>
                <w:szCs w:val="18"/>
              </w:rPr>
              <w:t>❌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Disadvantages:</w:t>
            </w:r>
          </w:p>
          <w:p w:rsidR="0070300F" w:rsidRPr="0070300F" w:rsidRDefault="0070300F" w:rsidP="0070300F">
            <w:pPr>
              <w:pStyle w:val="NormalWeb"/>
              <w:numPr>
                <w:ilvl w:val="0"/>
                <w:numId w:val="5"/>
              </w:numPr>
              <w:tabs>
                <w:tab w:val="clear" w:pos="720"/>
                <w:tab w:val="num" w:pos="177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Often needs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more data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and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strong assumptions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:rsidR="0070300F" w:rsidRPr="0070300F" w:rsidRDefault="0070300F" w:rsidP="0070300F">
            <w:pPr>
              <w:pStyle w:val="NormalWeb"/>
              <w:numPr>
                <w:ilvl w:val="0"/>
                <w:numId w:val="5"/>
              </w:numPr>
              <w:tabs>
                <w:tab w:val="clear" w:pos="720"/>
                <w:tab w:val="num" w:pos="177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>More computationally complex.</w:t>
            </w:r>
          </w:p>
          <w:p w:rsidR="009F5EDB" w:rsidRPr="0070300F" w:rsidRDefault="0070300F" w:rsidP="0070300F">
            <w:pPr>
              <w:pStyle w:val="NormalWeb"/>
              <w:numPr>
                <w:ilvl w:val="0"/>
                <w:numId w:val="5"/>
              </w:numPr>
              <w:tabs>
                <w:tab w:val="clear" w:pos="720"/>
                <w:tab w:val="num" w:pos="177"/>
              </w:tabs>
              <w:spacing w:before="0" w:beforeAutospacing="0" w:after="0" w:afterAutospacing="0"/>
              <w:ind w:left="177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Sometimes </w:t>
            </w:r>
            <w:r w:rsidRPr="0070300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less accurate</w:t>
            </w:r>
            <w:r w:rsidRPr="0070300F">
              <w:rPr>
                <w:rFonts w:asciiTheme="minorHAnsi" w:hAnsiTheme="minorHAnsi" w:cstheme="minorHAnsi"/>
                <w:sz w:val="18"/>
                <w:szCs w:val="18"/>
              </w:rPr>
              <w:t xml:space="preserve"> than discriminative models for classification.</w:t>
            </w:r>
          </w:p>
        </w:tc>
      </w:tr>
      <w:tr w:rsidR="0070300F" w:rsidTr="00AA4EF2">
        <w:tc>
          <w:tcPr>
            <w:tcW w:w="11908" w:type="dxa"/>
            <w:gridSpan w:val="2"/>
          </w:tcPr>
          <w:p w:rsidR="0070300F" w:rsidRDefault="0070300F">
            <w:r w:rsidRPr="0070300F">
              <w:drawing>
                <wp:inline distT="0" distB="0" distL="0" distR="0" wp14:anchorId="330BD282" wp14:editId="64F7C9DC">
                  <wp:extent cx="3346939" cy="1261539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190" cy="127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00F" w:rsidTr="00AA4EF2">
        <w:tc>
          <w:tcPr>
            <w:tcW w:w="11908" w:type="dxa"/>
            <w:gridSpan w:val="2"/>
          </w:tcPr>
          <w:p w:rsidR="0070300F" w:rsidRPr="0070300F" w:rsidRDefault="0070300F" w:rsidP="0070300F">
            <w:pPr>
              <w:pStyle w:val="Heading2"/>
              <w:spacing w:before="0"/>
              <w:rPr>
                <w:sz w:val="18"/>
                <w:szCs w:val="18"/>
              </w:rPr>
            </w:pPr>
            <w:r w:rsidRPr="0070300F">
              <w:rPr>
                <w:sz w:val="18"/>
                <w:szCs w:val="18"/>
              </w:rPr>
              <w:t>Intuition (in simple language)</w:t>
            </w:r>
          </w:p>
          <w:p w:rsidR="0070300F" w:rsidRPr="0070300F" w:rsidRDefault="0070300F" w:rsidP="0070300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70300F">
              <w:rPr>
                <w:rStyle w:val="Strong"/>
                <w:sz w:val="18"/>
                <w:szCs w:val="18"/>
              </w:rPr>
              <w:t>Generative model</w:t>
            </w:r>
            <w:r w:rsidRPr="0070300F">
              <w:rPr>
                <w:sz w:val="18"/>
                <w:szCs w:val="18"/>
              </w:rPr>
              <w:t>: "Let me understand how apples and oranges look like. Then I can generate new apples/oranges and also recognize them."</w:t>
            </w:r>
          </w:p>
          <w:p w:rsidR="0070300F" w:rsidRDefault="0070300F" w:rsidP="0070300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70300F">
              <w:rPr>
                <w:rStyle w:val="Strong"/>
                <w:sz w:val="18"/>
                <w:szCs w:val="18"/>
              </w:rPr>
              <w:t>Discriminative model</w:t>
            </w:r>
            <w:r w:rsidRPr="0070300F">
              <w:rPr>
                <w:sz w:val="18"/>
                <w:szCs w:val="18"/>
              </w:rPr>
              <w:t>: "I don’t care how apples or oranges are made—just draw a line that separates them."</w:t>
            </w:r>
          </w:p>
          <w:p w:rsidR="0070300F" w:rsidRPr="0070300F" w:rsidRDefault="0070300F" w:rsidP="0070300F">
            <w:pPr>
              <w:pStyle w:val="NormalWeb"/>
              <w:spacing w:before="0" w:beforeAutospacing="0" w:after="0" w:afterAutospacing="0"/>
              <w:rPr>
                <w:sz w:val="18"/>
                <w:szCs w:val="18"/>
              </w:rPr>
            </w:pPr>
            <w:r w:rsidRPr="0070300F">
              <w:rPr>
                <w:sz w:val="18"/>
                <w:szCs w:val="18"/>
              </w:rPr>
              <w:drawing>
                <wp:inline distT="0" distB="0" distL="0" distR="0" wp14:anchorId="36508B85" wp14:editId="36679881">
                  <wp:extent cx="3798277" cy="141623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098" cy="142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EDB" w:rsidRDefault="009F5EDB" w:rsidP="0070300F">
      <w:bookmarkStart w:id="0" w:name="_GoBack"/>
      <w:bookmarkEnd w:id="0"/>
    </w:p>
    <w:sectPr w:rsidR="009F5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722B5"/>
    <w:multiLevelType w:val="multilevel"/>
    <w:tmpl w:val="4C9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0D0B"/>
    <w:multiLevelType w:val="multilevel"/>
    <w:tmpl w:val="1C3EE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C4F28"/>
    <w:multiLevelType w:val="multilevel"/>
    <w:tmpl w:val="023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E6A30"/>
    <w:multiLevelType w:val="multilevel"/>
    <w:tmpl w:val="245C5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A114E"/>
    <w:multiLevelType w:val="multilevel"/>
    <w:tmpl w:val="12F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1349C"/>
    <w:multiLevelType w:val="multilevel"/>
    <w:tmpl w:val="15C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EDB"/>
    <w:rsid w:val="003B6FAA"/>
    <w:rsid w:val="0070300F"/>
    <w:rsid w:val="009F5EDB"/>
    <w:rsid w:val="00C62C43"/>
    <w:rsid w:val="00D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9A4D"/>
  <w15:chartTrackingRefBased/>
  <w15:docId w15:val="{737B8295-CBF7-4F8F-9959-55B96227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E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E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5EDB"/>
    <w:rPr>
      <w:b/>
      <w:bCs/>
    </w:rPr>
  </w:style>
  <w:style w:type="character" w:customStyle="1" w:styleId="katex-mathml">
    <w:name w:val="katex-mathml"/>
    <w:basedOn w:val="DefaultParagraphFont"/>
    <w:rsid w:val="009F5EDB"/>
  </w:style>
  <w:style w:type="character" w:customStyle="1" w:styleId="mord">
    <w:name w:val="mord"/>
    <w:basedOn w:val="DefaultParagraphFont"/>
    <w:rsid w:val="009F5EDB"/>
  </w:style>
  <w:style w:type="character" w:customStyle="1" w:styleId="mopen">
    <w:name w:val="mopen"/>
    <w:basedOn w:val="DefaultParagraphFont"/>
    <w:rsid w:val="009F5EDB"/>
  </w:style>
  <w:style w:type="character" w:customStyle="1" w:styleId="mrel">
    <w:name w:val="mrel"/>
    <w:basedOn w:val="DefaultParagraphFont"/>
    <w:rsid w:val="009F5EDB"/>
  </w:style>
  <w:style w:type="character" w:customStyle="1" w:styleId="mclose">
    <w:name w:val="mclose"/>
    <w:basedOn w:val="DefaultParagraphFont"/>
    <w:rsid w:val="009F5EDB"/>
  </w:style>
  <w:style w:type="character" w:customStyle="1" w:styleId="Heading3Char">
    <w:name w:val="Heading 3 Char"/>
    <w:basedOn w:val="DefaultParagraphFont"/>
    <w:link w:val="Heading3"/>
    <w:uiPriority w:val="9"/>
    <w:rsid w:val="009F5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F5ED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EDB"/>
    <w:rPr>
      <w:i/>
      <w:iCs/>
    </w:rPr>
  </w:style>
  <w:style w:type="character" w:customStyle="1" w:styleId="mbin">
    <w:name w:val="mbin"/>
    <w:basedOn w:val="DefaultParagraphFont"/>
    <w:rsid w:val="0070300F"/>
  </w:style>
  <w:style w:type="character" w:customStyle="1" w:styleId="vlist-s">
    <w:name w:val="vlist-s"/>
    <w:basedOn w:val="DefaultParagraphFont"/>
    <w:rsid w:val="0070300F"/>
  </w:style>
  <w:style w:type="character" w:customStyle="1" w:styleId="Heading2Char">
    <w:name w:val="Heading 2 Char"/>
    <w:basedOn w:val="DefaultParagraphFont"/>
    <w:link w:val="Heading2"/>
    <w:uiPriority w:val="9"/>
    <w:semiHidden/>
    <w:rsid w:val="007030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2025-10-21T08:37:00Z</dcterms:created>
  <dcterms:modified xsi:type="dcterms:W3CDTF">2025-10-21T08:57:00Z</dcterms:modified>
</cp:coreProperties>
</file>