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0"/>
      </w:pPr>
      <w:r>
        <w:rPr>
          <w:rFonts w:ascii="Times New Roman" w:hAnsi="Times New Roman"/>
          <w:rFonts w:ascii="Times New Roman" w:hAnsi="Times New Roman"/>
          <w:b w:val="0"/>
          <w:i w:val="0"/>
          <w:sz w:val="24"/>
        </w:rPr>
      </w:r>
    </w:p>
    <w:p>
      <w:pPr>
        <w:spacing w:line="360" w:lineRule="auto"/>
        <w:ind w:firstLine="0"/>
      </w:pPr>
      <w:r>
        <w:rPr>
          <w:rFonts w:ascii="Times New Roman" w:hAnsi="Times New Roman"/>
          <w:rFonts w:ascii="Times New Roman" w:hAnsi="Times New Roman"/>
          <w:b w:val="0"/>
          <w:i w:val="0"/>
          <w:sz w:val="24"/>
        </w:rPr>
      </w:r>
    </w:p>
    <w:p>
      <w:pPr>
        <w:spacing w:line="360" w:lineRule="auto"/>
        <w:ind w:firstLine="0"/>
      </w:pPr>
      <w:r>
        <w:rPr>
          <w:rFonts w:ascii="Times New Roman" w:hAnsi="Times New Roman"/>
          <w:rFonts w:ascii="Times New Roman" w:hAnsi="Times New Roman"/>
          <w:b w:val="0"/>
          <w:i w:val="0"/>
          <w:sz w:val="24"/>
        </w:rPr>
      </w:r>
    </w:p>
    <w:p>
      <w:pPr>
        <w:spacing w:line="360" w:lineRule="auto"/>
        <w:ind w:firstLine="0"/>
      </w:pPr>
      <w:r>
        <w:rPr>
          <w:rFonts w:ascii="Times New Roman" w:hAnsi="Times New Roman"/>
          <w:rFonts w:ascii="Times New Roman" w:hAnsi="Times New Roman"/>
          <w:b w:val="0"/>
          <w:i w:val="0"/>
          <w:sz w:val="24"/>
        </w:rPr>
      </w:r>
    </w:p>
    <w:p>
      <w:pPr>
        <w:spacing w:line="360" w:lineRule="auto"/>
        <w:ind w:firstLine="0"/>
        <w:jc w:val="center"/>
      </w:pPr>
      <w:r>
        <w:rPr>
          <w:rFonts w:ascii="Times New Roman" w:hAnsi="Times New Roman"/>
          <w:rFonts w:ascii="Times New Roman" w:hAnsi="Times New Roman"/>
          <w:b/>
          <w:i w:val="0"/>
          <w:sz w:val="28"/>
        </w:rPr>
        <w:t>UNIVERSIDAD FRANCISCO DE VITORIA</w:t>
      </w:r>
    </w:p>
    <w:p>
      <w:pPr>
        <w:spacing w:line="360" w:lineRule="auto"/>
        <w:ind w:firstLine="0"/>
        <w:jc w:val="center"/>
      </w:pPr>
      <w:r>
        <w:rPr>
          <w:rFonts w:ascii="Times New Roman" w:hAnsi="Times New Roman"/>
          <w:rFonts w:ascii="Times New Roman" w:hAnsi="Times New Roman"/>
          <w:b w:val="0"/>
          <w:i/>
          <w:sz w:val="24"/>
        </w:rPr>
        <w:t>Facultad de Derecho, Empresa y Gobierno</w:t>
      </w:r>
    </w:p>
    <w:p>
      <w:pPr>
        <w:spacing w:line="360" w:lineRule="auto"/>
        <w:ind w:firstLine="0"/>
      </w:pPr>
      <w:r>
        <w:rPr>
          <w:rFonts w:ascii="Times New Roman" w:hAnsi="Times New Roman"/>
          <w:rFonts w:ascii="Times New Roman" w:hAnsi="Times New Roman"/>
          <w:b w:val="0"/>
          <w:i w:val="0"/>
          <w:sz w:val="24"/>
        </w:rPr>
      </w:r>
    </w:p>
    <w:p>
      <w:pPr>
        <w:spacing w:line="360" w:lineRule="auto"/>
        <w:ind w:firstLine="0"/>
        <w:jc w:val="center"/>
      </w:pPr>
      <w:r>
        <w:rPr>
          <w:rFonts w:ascii="Times New Roman" w:hAnsi="Times New Roman"/>
          <w:rFonts w:ascii="Times New Roman" w:hAnsi="Times New Roman"/>
          <w:b/>
          <w:i w:val="0"/>
          <w:sz w:val="32"/>
        </w:rPr>
        <w:t>TRABAJO FIN DE GRADO</w:t>
      </w:r>
    </w:p>
    <w:p>
      <w:pPr>
        <w:spacing w:line="360" w:lineRule="auto"/>
        <w:ind w:firstLine="0"/>
      </w:pPr>
      <w:r>
        <w:rPr>
          <w:rFonts w:ascii="Times New Roman" w:hAnsi="Times New Roman"/>
          <w:rFonts w:ascii="Times New Roman" w:hAnsi="Times New Roman"/>
          <w:b w:val="0"/>
          <w:i w:val="0"/>
          <w:sz w:val="24"/>
        </w:rPr>
      </w:r>
    </w:p>
    <w:p>
      <w:pPr>
        <w:spacing w:line="360" w:lineRule="auto"/>
        <w:ind w:firstLine="0"/>
        <w:jc w:val="center"/>
      </w:pPr>
      <w:r>
        <w:rPr>
          <w:rFonts w:ascii="Times New Roman" w:hAnsi="Times New Roman"/>
          <w:rFonts w:ascii="Times New Roman" w:hAnsi="Times New Roman"/>
          <w:b w:val="0"/>
          <w:i w:val="0"/>
          <w:sz w:val="24"/>
        </w:rPr>
        <w:t>Grado en Análisis de Negocios / Business Analytics</w:t>
      </w:r>
    </w:p>
    <w:p>
      <w:pPr>
        <w:spacing w:line="360" w:lineRule="auto"/>
        <w:ind w:firstLine="0"/>
      </w:pPr>
      <w:r>
        <w:rPr>
          <w:rFonts w:ascii="Times New Roman" w:hAnsi="Times New Roman"/>
          <w:rFonts w:ascii="Times New Roman" w:hAnsi="Times New Roman"/>
          <w:b w:val="0"/>
          <w:i w:val="0"/>
          <w:sz w:val="24"/>
        </w:rPr>
      </w:r>
    </w:p>
    <w:p>
      <w:pPr>
        <w:spacing w:line="360" w:lineRule="auto"/>
        <w:ind w:firstLine="0"/>
      </w:pPr>
      <w:r>
        <w:rPr>
          <w:rFonts w:ascii="Times New Roman" w:hAnsi="Times New Roman"/>
          <w:rFonts w:ascii="Times New Roman" w:hAnsi="Times New Roman"/>
          <w:b w:val="0"/>
          <w:i w:val="0"/>
          <w:sz w:val="24"/>
        </w:rPr>
      </w:r>
    </w:p>
    <w:p>
      <w:pPr>
        <w:spacing w:line="360" w:lineRule="auto"/>
        <w:ind w:firstLine="0"/>
      </w:pPr>
      <w:r>
        <w:rPr>
          <w:rFonts w:ascii="Times New Roman" w:hAnsi="Times New Roman"/>
          <w:rFonts w:ascii="Times New Roman" w:hAnsi="Times New Roman"/>
          <w:b w:val="0"/>
          <w:i w:val="0"/>
          <w:sz w:val="24"/>
        </w:rPr>
      </w:r>
    </w:p>
    <w:p>
      <w:pPr>
        <w:spacing w:line="360" w:lineRule="auto"/>
        <w:ind w:firstLine="0"/>
        <w:jc w:val="center"/>
      </w:pPr>
      <w:r>
        <w:rPr>
          <w:rFonts w:ascii="Times New Roman" w:hAnsi="Times New Roman"/>
          <w:rFonts w:ascii="Times New Roman" w:hAnsi="Times New Roman"/>
          <w:b/>
          <w:i w:val="0"/>
          <w:sz w:val="28"/>
        </w:rPr>
        <w:t>Optimización de Carteras de Inversión mediante</w:t>
      </w:r>
    </w:p>
    <w:p>
      <w:pPr>
        <w:spacing w:line="360" w:lineRule="auto"/>
        <w:ind w:firstLine="0"/>
        <w:jc w:val="center"/>
      </w:pPr>
      <w:r>
        <w:rPr>
          <w:rFonts w:ascii="Times New Roman" w:hAnsi="Times New Roman"/>
          <w:rFonts w:ascii="Times New Roman" w:hAnsi="Times New Roman"/>
          <w:b/>
          <w:i w:val="0"/>
          <w:sz w:val="28"/>
        </w:rPr>
        <w:t>Predicción de Retornos con XGBoost y Señales</w:t>
      </w:r>
    </w:p>
    <w:p>
      <w:pPr>
        <w:spacing w:line="360" w:lineRule="auto"/>
        <w:ind w:firstLine="0"/>
        <w:jc w:val="center"/>
      </w:pPr>
      <w:r>
        <w:rPr>
          <w:rFonts w:ascii="Times New Roman" w:hAnsi="Times New Roman"/>
          <w:rFonts w:ascii="Times New Roman" w:hAnsi="Times New Roman"/>
          <w:b/>
          <w:i w:val="0"/>
          <w:sz w:val="28"/>
        </w:rPr>
        <w:t>Macroeconómicas, de Riesgo y de Sentimiento</w:t>
      </w:r>
    </w:p>
    <w:p>
      <w:pPr>
        <w:spacing w:line="360" w:lineRule="auto"/>
        <w:ind w:firstLine="0"/>
        <w:jc w:val="center"/>
      </w:pPr>
      <w:r>
        <w:rPr>
          <w:rFonts w:ascii="Times New Roman" w:hAnsi="Times New Roman"/>
          <w:rFonts w:ascii="Times New Roman" w:hAnsi="Times New Roman"/>
          <w:b/>
          <w:i w:val="0"/>
          <w:sz w:val="28"/>
        </w:rPr>
        <w:t>Aplicado a ETFs</w:t>
      </w:r>
    </w:p>
    <w:p>
      <w:pPr>
        <w:spacing w:line="360" w:lineRule="auto"/>
        <w:ind w:firstLine="0"/>
      </w:pPr>
      <w:r>
        <w:rPr>
          <w:rFonts w:ascii="Times New Roman" w:hAnsi="Times New Roman"/>
          <w:rFonts w:ascii="Times New Roman" w:hAnsi="Times New Roman"/>
          <w:b w:val="0"/>
          <w:i w:val="0"/>
          <w:sz w:val="24"/>
        </w:rPr>
      </w:r>
    </w:p>
    <w:p>
      <w:pPr>
        <w:spacing w:line="360" w:lineRule="auto"/>
        <w:ind w:firstLine="0"/>
      </w:pPr>
      <w:r>
        <w:rPr>
          <w:rFonts w:ascii="Times New Roman" w:hAnsi="Times New Roman"/>
          <w:rFonts w:ascii="Times New Roman" w:hAnsi="Times New Roman"/>
          <w:b w:val="0"/>
          <w:i w:val="0"/>
          <w:sz w:val="24"/>
        </w:rPr>
      </w:r>
    </w:p>
    <w:p>
      <w:pPr>
        <w:spacing w:line="360" w:lineRule="auto"/>
        <w:ind w:firstLine="0"/>
      </w:pPr>
      <w:r>
        <w:rPr>
          <w:rFonts w:ascii="Times New Roman" w:hAnsi="Times New Roman"/>
          <w:rFonts w:ascii="Times New Roman" w:hAnsi="Times New Roman"/>
          <w:b w:val="0"/>
          <w:i w:val="0"/>
          <w:sz w:val="24"/>
        </w:rPr>
      </w:r>
    </w:p>
    <w:p>
      <w:pPr>
        <w:spacing w:line="360" w:lineRule="auto"/>
        <w:ind w:firstLine="0"/>
        <w:jc w:val="right"/>
      </w:pPr>
      <w:r>
        <w:rPr>
          <w:rFonts w:ascii="Times New Roman" w:hAnsi="Times New Roman"/>
          <w:rFonts w:ascii="Times New Roman" w:hAnsi="Times New Roman"/>
          <w:b w:val="0"/>
          <w:i w:val="0"/>
          <w:sz w:val="24"/>
        </w:rPr>
        <w:t>Autor: Mateo Madrigal Arteaga</w:t>
      </w:r>
    </w:p>
    <w:p>
      <w:pPr>
        <w:spacing w:line="360" w:lineRule="auto"/>
        <w:ind w:firstLine="0"/>
        <w:jc w:val="right"/>
      </w:pPr>
      <w:r>
        <w:rPr>
          <w:rFonts w:ascii="Times New Roman" w:hAnsi="Times New Roman"/>
          <w:rFonts w:ascii="Times New Roman" w:hAnsi="Times New Roman"/>
          <w:b w:val="0"/>
          <w:i w:val="0"/>
          <w:sz w:val="24"/>
        </w:rPr>
        <w:t>Tutor: [Tutor asignado]</w:t>
      </w:r>
    </w:p>
    <w:p>
      <w:pPr>
        <w:spacing w:line="360" w:lineRule="auto"/>
        <w:ind w:firstLine="0"/>
      </w:pPr>
      <w:r>
        <w:rPr>
          <w:rFonts w:ascii="Times New Roman" w:hAnsi="Times New Roman"/>
          <w:rFonts w:ascii="Times New Roman" w:hAnsi="Times New Roman"/>
          <w:b w:val="0"/>
          <w:i w:val="0"/>
          <w:sz w:val="24"/>
        </w:rPr>
      </w:r>
    </w:p>
    <w:p>
      <w:pPr>
        <w:spacing w:line="360" w:lineRule="auto"/>
        <w:ind w:firstLine="0"/>
        <w:jc w:val="center"/>
      </w:pPr>
      <w:r>
        <w:rPr>
          <w:rFonts w:ascii="Times New Roman" w:hAnsi="Times New Roman"/>
          <w:rFonts w:ascii="Times New Roman" w:hAnsi="Times New Roman"/>
          <w:b w:val="0"/>
          <w:i w:val="0"/>
          <w:sz w:val="24"/>
        </w:rPr>
        <w:t>Curso académico: 2025-2026</w:t>
      </w:r>
    </w:p>
    <w:p>
      <w:pPr>
        <w:spacing w:line="360" w:lineRule="auto"/>
        <w:ind w:firstLine="0"/>
        <w:jc w:val="center"/>
      </w:pPr>
      <w:r>
        <w:rPr>
          <w:rFonts w:ascii="Times New Roman" w:hAnsi="Times New Roman"/>
          <w:rFonts w:ascii="Times New Roman" w:hAnsi="Times New Roman"/>
          <w:b w:val="0"/>
          <w:i w:val="0"/>
          <w:sz w:val="24"/>
        </w:rPr>
        <w:t>Convocatoria: Ordinaria</w:t>
      </w:r>
    </w:p>
    <w:p>
      <w:r>
        <w:br w:type="page"/>
      </w:r>
    </w:p>
    <w:p>
      <w:pPr>
        <w:pStyle w:val="Heading1"/>
      </w:pPr>
      <w:r>
        <w:rPr>
          <w:rFonts w:ascii="Times New Roman" w:hAnsi="Times New Roman" w:cs="Times New Roman"/>
          <w:rFonts w:ascii="Times New Roman" w:hAnsi="Times New Roman"/>
          <w:color w:val="000000"/>
          <w:sz w:val="28"/>
        </w:rPr>
        <w:t>Agradecimientos</w:t>
      </w:r>
    </w:p>
    <w:p>
      <w:pPr>
        <w:spacing w:line="360" w:lineRule="auto"/>
        <w:jc w:val="both"/>
      </w:pPr>
      <w:r>
        <w:rPr>
          <w:rFonts w:ascii="Times New Roman" w:hAnsi="Times New Roman"/>
          <w:rFonts w:ascii="Times New Roman" w:hAnsi="Times New Roman"/>
          <w:b w:val="0"/>
          <w:i w:val="0"/>
          <w:sz w:val="24"/>
        </w:rPr>
        <w:t>Quiero expresar mi agradecimiento a mi tutor por su orientación y seguimiento durante la elaboración de este trabajo. Agradezco también a la Universidad Francisco de Vitoria y al equipo docente del Grado en Business Analytics por la formación recibida a lo largo de estos años, que ha sido fundamental para poder abordar un proyecto de esta naturaleza.</w:t>
      </w:r>
    </w:p>
    <w:p>
      <w:pPr>
        <w:spacing w:line="360" w:lineRule="auto"/>
        <w:jc w:val="both"/>
      </w:pPr>
      <w:r>
        <w:rPr>
          <w:rFonts w:ascii="Times New Roman" w:hAnsi="Times New Roman"/>
          <w:rFonts w:ascii="Times New Roman" w:hAnsi="Times New Roman"/>
          <w:b w:val="0"/>
          <w:i w:val="0"/>
          <w:sz w:val="24"/>
        </w:rPr>
        <w:t>En la elaboración de este trabajo se ha utilizado Claude (Anthropic, versiones Claude 3.5 Sonnet y Claude Opus 4) como herramienta de asistencia para la planificación del proyecto, generación y revisión de código Python, y apoyo en la redacción. Todas las decisiones metodológicas, la interpretación de resultados y las conclusiones son responsabilidad exclusiva del autor. El uso de esta herramienta se detalla según la taxonomía CRediT en la sección correspondiente.</w:t>
      </w:r>
    </w:p>
    <w:p>
      <w:r>
        <w:br w:type="page"/>
      </w:r>
    </w:p>
    <w:p>
      <w:pPr>
        <w:pStyle w:val="Heading1"/>
      </w:pPr>
      <w:r>
        <w:rPr>
          <w:rFonts w:ascii="Times New Roman" w:hAnsi="Times New Roman" w:cs="Times New Roman"/>
          <w:rFonts w:ascii="Times New Roman" w:hAnsi="Times New Roman"/>
          <w:color w:val="000000"/>
          <w:sz w:val="28"/>
        </w:rPr>
        <w:t>Resumen</w:t>
      </w:r>
    </w:p>
    <w:p>
      <w:pPr>
        <w:spacing w:line="360" w:lineRule="auto"/>
        <w:ind w:firstLine="0"/>
        <w:jc w:val="both"/>
      </w:pPr>
      <w:r>
        <w:rPr>
          <w:rFonts w:ascii="Times New Roman" w:hAnsi="Times New Roman"/>
          <w:rFonts w:ascii="Times New Roman" w:hAnsi="Times New Roman"/>
          <w:b w:val="0"/>
          <w:i w:val="0"/>
          <w:sz w:val="24"/>
        </w:rPr>
        <w:t>Este trabajo presenta un sistema de optimización dinámica de carteras de inversión que combina predicciones de retornos semanales generadas por modelos de gradient boosting (XGBoost y LightGBM) con la optimización de Markowitz de media-varianza. El sistema se aplica a un universo de 10 ETFs representativos de 5 clases de activos, utilizando 109 variables predictivas agrupadas en 6 dimensiones: mercado, riesgo, macroeconómicas, liquidez, sentimiento y NLP de noticias. La validación se realiza mediante walk-forward expanding window sobre 778 semanas (2011-2026), garantizando la ausencia de data leakage. Los resultados muestran que la cartera XGBoost optimizada alcanza un Sharpe ratio de 1,397 y un retorno total acumulado del 426%, superando significativamente al benchmark 60/40 (Sharpe 0,847) y a la optimización clásica de Markowitz (Sharpe 0,832). El análisis SHAP revela que las condiciones financieras (NFCI) son el principal driver predictivo, con la dimensión de riesgo aportando 5 veces más información por variable que la de mercado.</w:t>
      </w:r>
    </w:p>
    <w:p>
      <w:pPr>
        <w:spacing w:line="360" w:lineRule="auto"/>
        <w:ind w:firstLine="0"/>
      </w:pPr>
      <w:r>
        <w:rPr>
          <w:rFonts w:ascii="Times New Roman" w:hAnsi="Times New Roman"/>
          <w:rFonts w:ascii="Times New Roman" w:hAnsi="Times New Roman"/>
          <w:b/>
          <w:i w:val="0"/>
          <w:sz w:val="24"/>
        </w:rPr>
        <w:t>Palabras clave: optimización de carteras, machine learning, XGBoost, predicción de retornos, SHAP, ETFs, walk-forward.</w:t>
      </w:r>
    </w:p>
    <w:p>
      <w:pPr>
        <w:spacing w:line="360" w:lineRule="auto"/>
        <w:ind w:firstLine="0"/>
      </w:pPr>
      <w:r>
        <w:rPr>
          <w:rFonts w:ascii="Times New Roman" w:hAnsi="Times New Roman"/>
          <w:rFonts w:ascii="Times New Roman" w:hAnsi="Times New Roman"/>
          <w:b w:val="0"/>
          <w:i w:val="0"/>
          <w:sz w:val="24"/>
        </w:rPr>
      </w:r>
    </w:p>
    <w:p>
      <w:pPr>
        <w:pStyle w:val="Heading1"/>
      </w:pPr>
      <w:r>
        <w:rPr>
          <w:rFonts w:ascii="Times New Roman" w:hAnsi="Times New Roman" w:cs="Times New Roman"/>
          <w:rFonts w:ascii="Times New Roman" w:hAnsi="Times New Roman"/>
          <w:color w:val="000000"/>
          <w:sz w:val="28"/>
        </w:rPr>
        <w:t>Abstract</w:t>
      </w:r>
    </w:p>
    <w:p>
      <w:pPr>
        <w:spacing w:line="360" w:lineRule="auto"/>
        <w:ind w:firstLine="0"/>
        <w:jc w:val="both"/>
      </w:pPr>
      <w:r>
        <w:rPr>
          <w:rFonts w:ascii="Times New Roman" w:hAnsi="Times New Roman"/>
          <w:rFonts w:ascii="Times New Roman" w:hAnsi="Times New Roman"/>
          <w:b w:val="0"/>
          <w:i w:val="0"/>
          <w:sz w:val="24"/>
        </w:rPr>
        <w:t>This thesis presents a dynamic portfolio optimization system that combines weekly return predictions generated by gradient boosting models (XGBoost and LightGBM) with Markowitz mean-variance optimization. The system is applied to a universe of 10 ETFs representing 5 asset classes, using 109 predictive features grouped into 6 dimensions: market, risk, macroeconomic, liquidity, sentiment, and news NLP. Validation is performed through walk-forward expanding window over 778 weeks (2011-2026), ensuring no data leakage. Results show that the optimized XGBoost portfolio achieves a Sharpe ratio of 1.397 and a cumulative total return of 426%, significantly outperforming the 60/40 benchmark (Sharpe 0.847) and classic Markowitz optimization (Sharpe 0.832). SHAP analysis reveals that financial conditions (NFCI) are the primary predictive driver, with the risk dimension providing 5 times more information per feature than the market dimension.</w:t>
      </w:r>
    </w:p>
    <w:p>
      <w:pPr>
        <w:spacing w:line="360" w:lineRule="auto"/>
        <w:ind w:firstLine="0"/>
      </w:pPr>
      <w:r>
        <w:rPr>
          <w:rFonts w:ascii="Times New Roman" w:hAnsi="Times New Roman"/>
          <w:rFonts w:ascii="Times New Roman" w:hAnsi="Times New Roman"/>
          <w:b/>
          <w:i w:val="0"/>
          <w:sz w:val="24"/>
        </w:rPr>
        <w:t>Keywords: portfolio optimization, machine learning, XGBoost, return prediction, SHAP, ETFs, walk-forward.</w:t>
      </w:r>
    </w:p>
    <w:p>
      <w:r>
        <w:br w:type="page"/>
      </w:r>
    </w:p>
    <w:p>
      <w:pPr>
        <w:pStyle w:val="Heading1"/>
      </w:pPr>
      <w:r>
        <w:rPr>
          <w:rFonts w:ascii="Times New Roman" w:hAnsi="Times New Roman" w:cs="Times New Roman"/>
          <w:rFonts w:ascii="Times New Roman" w:hAnsi="Times New Roman"/>
          <w:color w:val="000000"/>
          <w:sz w:val="28"/>
        </w:rPr>
        <w:t>Índice de Contenidos</w:t>
      </w:r>
    </w:p>
    <w:p>
      <w:pPr>
        <w:spacing w:after="40" w:line="360" w:lineRule="auto"/>
        <w:ind w:firstLine="0"/>
      </w:pPr>
      <w:r>
        <w:rPr>
          <w:rFonts w:ascii="Times New Roman" w:hAnsi="Times New Roman"/>
          <w:b/>
          <w:sz w:val="22"/>
        </w:rPr>
        <w:t>Agradecimientos</w:t>
      </w:r>
    </w:p>
    <w:p>
      <w:pPr>
        <w:spacing w:after="40" w:line="360" w:lineRule="auto"/>
        <w:ind w:firstLine="0"/>
      </w:pPr>
      <w:r>
        <w:rPr>
          <w:rFonts w:ascii="Times New Roman" w:hAnsi="Times New Roman"/>
          <w:b/>
          <w:sz w:val="22"/>
        </w:rPr>
        <w:t>Resumen / Abstract</w:t>
      </w:r>
    </w:p>
    <w:p>
      <w:pPr>
        <w:spacing w:after="40" w:line="360" w:lineRule="auto"/>
        <w:ind w:firstLine="0"/>
      </w:pPr>
      <w:r>
        <w:rPr>
          <w:rFonts w:ascii="Times New Roman" w:hAnsi="Times New Roman"/>
          <w:b/>
          <w:sz w:val="22"/>
        </w:rPr>
        <w:t>Índice de Contenidos</w:t>
      </w:r>
    </w:p>
    <w:p>
      <w:pPr>
        <w:spacing w:after="40" w:line="360" w:lineRule="auto"/>
        <w:ind w:firstLine="0"/>
      </w:pPr>
      <w:r>
        <w:rPr>
          <w:rFonts w:ascii="Times New Roman" w:hAnsi="Times New Roman"/>
          <w:b/>
          <w:sz w:val="22"/>
        </w:rPr>
        <w:t>Índice de Figuras</w:t>
      </w:r>
    </w:p>
    <w:p>
      <w:pPr>
        <w:spacing w:after="40" w:line="360" w:lineRule="auto"/>
        <w:ind w:firstLine="0"/>
      </w:pPr>
      <w:r>
        <w:rPr>
          <w:rFonts w:ascii="Times New Roman" w:hAnsi="Times New Roman"/>
          <w:b/>
          <w:sz w:val="22"/>
        </w:rPr>
        <w:t>Índice de Tablas</w:t>
      </w:r>
    </w:p>
    <w:p>
      <w:pPr>
        <w:spacing w:after="40" w:line="360" w:lineRule="auto"/>
        <w:ind w:firstLine="0"/>
      </w:pPr>
      <w:r>
        <w:rPr>
          <w:rFonts w:ascii="Times New Roman" w:hAnsi="Times New Roman"/>
          <w:b/>
          <w:sz w:val="22"/>
        </w:rPr>
        <w:t>1. Introducción</w:t>
      </w:r>
    </w:p>
    <w:p>
      <w:pPr>
        <w:spacing w:after="40" w:line="360" w:lineRule="auto"/>
        <w:ind w:firstLine="0"/>
      </w:pPr>
      <w:r>
        <w:rPr>
          <w:rFonts w:ascii="Times New Roman" w:hAnsi="Times New Roman"/>
          <w:sz w:val="22"/>
        </w:rPr>
        <w:t xml:space="preserve">   1.1. Contexto y motivación</w:t>
      </w:r>
    </w:p>
    <w:p>
      <w:pPr>
        <w:spacing w:after="40" w:line="360" w:lineRule="auto"/>
        <w:ind w:firstLine="0"/>
      </w:pPr>
      <w:r>
        <w:rPr>
          <w:rFonts w:ascii="Times New Roman" w:hAnsi="Times New Roman"/>
          <w:sz w:val="22"/>
        </w:rPr>
        <w:t xml:space="preserve">   1.2. Planteamiento del problema</w:t>
      </w:r>
    </w:p>
    <w:p>
      <w:pPr>
        <w:spacing w:after="40" w:line="360" w:lineRule="auto"/>
        <w:ind w:firstLine="0"/>
      </w:pPr>
      <w:r>
        <w:rPr>
          <w:rFonts w:ascii="Times New Roman" w:hAnsi="Times New Roman"/>
          <w:sz w:val="22"/>
        </w:rPr>
        <w:t xml:space="preserve">   1.3. Alcance del proyecto</w:t>
      </w:r>
    </w:p>
    <w:p>
      <w:pPr>
        <w:spacing w:after="40" w:line="360" w:lineRule="auto"/>
        <w:ind w:firstLine="0"/>
      </w:pPr>
      <w:r>
        <w:rPr>
          <w:rFonts w:ascii="Times New Roman" w:hAnsi="Times New Roman"/>
          <w:sz w:val="22"/>
        </w:rPr>
        <w:t xml:space="preserve">   1.4. Estructura del documento</w:t>
      </w:r>
    </w:p>
    <w:p>
      <w:pPr>
        <w:spacing w:after="40" w:line="360" w:lineRule="auto"/>
        <w:ind w:firstLine="0"/>
      </w:pPr>
      <w:r>
        <w:rPr>
          <w:rFonts w:ascii="Times New Roman" w:hAnsi="Times New Roman"/>
          <w:b/>
          <w:sz w:val="22"/>
        </w:rPr>
        <w:t>2. Objetivos</w:t>
      </w:r>
    </w:p>
    <w:p>
      <w:pPr>
        <w:spacing w:after="40" w:line="360" w:lineRule="auto"/>
        <w:ind w:firstLine="0"/>
      </w:pPr>
      <w:r>
        <w:rPr>
          <w:rFonts w:ascii="Times New Roman" w:hAnsi="Times New Roman"/>
          <w:sz w:val="22"/>
        </w:rPr>
        <w:t xml:space="preserve">   2.1. Objetivo general</w:t>
      </w:r>
    </w:p>
    <w:p>
      <w:pPr>
        <w:spacing w:after="40" w:line="360" w:lineRule="auto"/>
        <w:ind w:firstLine="0"/>
      </w:pPr>
      <w:r>
        <w:rPr>
          <w:rFonts w:ascii="Times New Roman" w:hAnsi="Times New Roman"/>
          <w:sz w:val="22"/>
        </w:rPr>
        <w:t xml:space="preserve">   2.2. Objetivos específicos</w:t>
      </w:r>
    </w:p>
    <w:p>
      <w:pPr>
        <w:spacing w:after="40" w:line="360" w:lineRule="auto"/>
        <w:ind w:firstLine="0"/>
      </w:pPr>
      <w:r>
        <w:rPr>
          <w:rFonts w:ascii="Times New Roman" w:hAnsi="Times New Roman"/>
          <w:b/>
          <w:sz w:val="22"/>
        </w:rPr>
        <w:t>3. Estado del Arte</w:t>
      </w:r>
    </w:p>
    <w:p>
      <w:pPr>
        <w:spacing w:after="40" w:line="360" w:lineRule="auto"/>
        <w:ind w:firstLine="0"/>
      </w:pPr>
      <w:r>
        <w:rPr>
          <w:rFonts w:ascii="Times New Roman" w:hAnsi="Times New Roman"/>
          <w:sz w:val="22"/>
        </w:rPr>
        <w:t xml:space="preserve">   3.1. Teoría moderna de carteras</w:t>
      </w:r>
    </w:p>
    <w:p>
      <w:pPr>
        <w:spacing w:after="40" w:line="360" w:lineRule="auto"/>
        <w:ind w:firstLine="0"/>
      </w:pPr>
      <w:r>
        <w:rPr>
          <w:rFonts w:ascii="Times New Roman" w:hAnsi="Times New Roman"/>
          <w:sz w:val="22"/>
        </w:rPr>
        <w:t xml:space="preserve">   3.2. Machine Learning en predicción financiera</w:t>
      </w:r>
    </w:p>
    <w:p>
      <w:pPr>
        <w:spacing w:after="40" w:line="360" w:lineRule="auto"/>
        <w:ind w:firstLine="0"/>
      </w:pPr>
      <w:r>
        <w:rPr>
          <w:rFonts w:ascii="Times New Roman" w:hAnsi="Times New Roman"/>
          <w:sz w:val="22"/>
        </w:rPr>
        <w:t xml:space="preserve">   3.3. Gradient Boosting: XGBoost y LightGBM</w:t>
      </w:r>
    </w:p>
    <w:p>
      <w:pPr>
        <w:spacing w:after="40" w:line="360" w:lineRule="auto"/>
        <w:ind w:firstLine="0"/>
      </w:pPr>
      <w:r>
        <w:rPr>
          <w:rFonts w:ascii="Times New Roman" w:hAnsi="Times New Roman"/>
          <w:sz w:val="22"/>
        </w:rPr>
        <w:t xml:space="preserve">   3.4. Validación en series temporales financieras</w:t>
      </w:r>
    </w:p>
    <w:p>
      <w:pPr>
        <w:spacing w:after="40" w:line="360" w:lineRule="auto"/>
        <w:ind w:firstLine="0"/>
      </w:pPr>
      <w:r>
        <w:rPr>
          <w:rFonts w:ascii="Times New Roman" w:hAnsi="Times New Roman"/>
          <w:sz w:val="22"/>
        </w:rPr>
        <w:t xml:space="preserve">   3.5. Interpretabilidad: SHAP</w:t>
      </w:r>
    </w:p>
    <w:p>
      <w:pPr>
        <w:spacing w:after="40" w:line="360" w:lineRule="auto"/>
        <w:ind w:firstLine="0"/>
      </w:pPr>
      <w:r>
        <w:rPr>
          <w:rFonts w:ascii="Times New Roman" w:hAnsi="Times New Roman"/>
          <w:sz w:val="22"/>
        </w:rPr>
        <w:t xml:space="preserve">   3.6. Señales alternativas en finanzas</w:t>
      </w:r>
    </w:p>
    <w:p>
      <w:pPr>
        <w:spacing w:after="40" w:line="360" w:lineRule="auto"/>
        <w:ind w:firstLine="0"/>
      </w:pPr>
      <w:r>
        <w:rPr>
          <w:rFonts w:ascii="Times New Roman" w:hAnsi="Times New Roman"/>
          <w:sz w:val="22"/>
        </w:rPr>
        <w:t xml:space="preserve">   3.7. Optimización de carteras con Machine Learning</w:t>
      </w:r>
    </w:p>
    <w:p>
      <w:pPr>
        <w:spacing w:after="40" w:line="360" w:lineRule="auto"/>
        <w:ind w:firstLine="0"/>
      </w:pPr>
      <w:r>
        <w:rPr>
          <w:rFonts w:ascii="Times New Roman" w:hAnsi="Times New Roman"/>
          <w:b/>
          <w:sz w:val="22"/>
        </w:rPr>
        <w:t>4. Ingeniería del Dato</w:t>
      </w:r>
    </w:p>
    <w:p>
      <w:pPr>
        <w:spacing w:after="40" w:line="360" w:lineRule="auto"/>
        <w:ind w:firstLine="0"/>
      </w:pPr>
      <w:r>
        <w:rPr>
          <w:rFonts w:ascii="Times New Roman" w:hAnsi="Times New Roman"/>
          <w:b/>
          <w:sz w:val="22"/>
        </w:rPr>
        <w:t>5. Análisis del Dato</w:t>
      </w:r>
    </w:p>
    <w:p>
      <w:pPr>
        <w:spacing w:after="40" w:line="360" w:lineRule="auto"/>
        <w:ind w:firstLine="0"/>
      </w:pPr>
      <w:r>
        <w:rPr>
          <w:rFonts w:ascii="Times New Roman" w:hAnsi="Times New Roman"/>
          <w:b/>
          <w:sz w:val="22"/>
        </w:rPr>
        <w:t>6. Análisis del Negocio</w:t>
      </w:r>
    </w:p>
    <w:p>
      <w:pPr>
        <w:spacing w:after="40" w:line="360" w:lineRule="auto"/>
        <w:ind w:firstLine="0"/>
      </w:pPr>
      <w:r>
        <w:rPr>
          <w:rFonts w:ascii="Times New Roman" w:hAnsi="Times New Roman"/>
          <w:b/>
          <w:sz w:val="22"/>
        </w:rPr>
        <w:t>7. Conclusiones</w:t>
      </w:r>
    </w:p>
    <w:p>
      <w:pPr>
        <w:spacing w:after="40" w:line="360" w:lineRule="auto"/>
        <w:ind w:firstLine="0"/>
      </w:pPr>
      <w:r>
        <w:rPr>
          <w:rFonts w:ascii="Times New Roman" w:hAnsi="Times New Roman"/>
          <w:b/>
          <w:sz w:val="22"/>
        </w:rPr>
        <w:t>Referencias Bibliográficas</w:t>
      </w:r>
    </w:p>
    <w:p>
      <w:pPr>
        <w:spacing w:after="40" w:line="360" w:lineRule="auto"/>
        <w:ind w:firstLine="0"/>
      </w:pPr>
      <w:r>
        <w:rPr>
          <w:rFonts w:ascii="Times New Roman" w:hAnsi="Times New Roman"/>
          <w:b/>
          <w:sz w:val="22"/>
        </w:rPr>
        <w:t>Anexos</w:t>
      </w:r>
    </w:p>
    <w:p>
      <w:r>
        <w:br w:type="page"/>
      </w:r>
    </w:p>
    <w:p>
      <w:pPr>
        <w:pStyle w:val="Heading1"/>
      </w:pPr>
      <w:r>
        <w:rPr>
          <w:rFonts w:ascii="Times New Roman" w:hAnsi="Times New Roman" w:cs="Times New Roman"/>
          <w:rFonts w:ascii="Times New Roman" w:hAnsi="Times New Roman"/>
          <w:color w:val="000000"/>
          <w:sz w:val="28"/>
        </w:rPr>
        <w:t>1. Introducción</w:t>
      </w:r>
    </w:p>
    <w:p>
      <w:pPr>
        <w:pStyle w:val="Heading2"/>
      </w:pPr>
      <w:r>
        <w:rPr>
          <w:rFonts w:ascii="Times New Roman" w:hAnsi="Times New Roman" w:cs="Times New Roman"/>
          <w:rFonts w:ascii="Times New Roman" w:hAnsi="Times New Roman"/>
          <w:color w:val="000000"/>
          <w:sz w:val="24"/>
        </w:rPr>
        <w:t>1.1. Contexto y motivación</w:t>
      </w:r>
    </w:p>
    <w:p>
      <w:pPr>
        <w:spacing w:line="360" w:lineRule="auto"/>
        <w:jc w:val="both"/>
      </w:pPr>
      <w:r>
        <w:rPr>
          <w:rFonts w:ascii="Times New Roman" w:hAnsi="Times New Roman"/>
          <w:rFonts w:ascii="Times New Roman" w:hAnsi="Times New Roman"/>
          <w:b w:val="0"/>
          <w:i w:val="0"/>
          <w:sz w:val="24"/>
        </w:rPr>
        <w:t>La gestión de carteras de inversión constituye uno de los problemas fundamentales de las finanzas modernas. Desde la publicación del trabajo seminal de Markowitz (1952) sobre la selección óptima de carteras, la industria financiera ha adoptado el marco de media-varianza como referencia para la asignación de activos. Sin embargo, este enfoque clásico descansa sobre supuestos que la evidencia empírica ha cuestionado repetidamente: la normalidad de los retornos, la estabilidad de las correlaciones entre activos y la estacionariedad de los parámetros estadísticos (DeMiguel et al., 2009).</w:t>
      </w:r>
    </w:p>
    <w:p>
      <w:pPr>
        <w:spacing w:line="360" w:lineRule="auto"/>
        <w:jc w:val="both"/>
      </w:pPr>
      <w:r>
        <w:rPr>
          <w:rFonts w:ascii="Times New Roman" w:hAnsi="Times New Roman"/>
          <w:rFonts w:ascii="Times New Roman" w:hAnsi="Times New Roman"/>
          <w:b w:val="0"/>
          <w:i w:val="0"/>
          <w:sz w:val="24"/>
        </w:rPr>
        <w:t>La crisis financiera global de 2008, la pandemia de COVID-19 en 2020 y el shock inflacionario de 2022 pusieron de manifiesto las limitaciones de los modelos estáticos: en periodos de crisis, las correlaciones entre clases de activos se disparan, la diversificación deja de funcionar y las carteras optimizadas con datos históricos sufren pérdidas severas. DeMiguel et al. (2009) demostraron que una cartera equiponderada simple (1/N) supera consistentemente a la optimización de Markowitz fuera de muestra, debido a la inestabilidad de las estimaciones de covarianza.</w:t>
      </w:r>
    </w:p>
    <w:p>
      <w:pPr>
        <w:spacing w:line="360" w:lineRule="auto"/>
        <w:jc w:val="both"/>
      </w:pPr>
      <w:r>
        <w:rPr>
          <w:rFonts w:ascii="Times New Roman" w:hAnsi="Times New Roman"/>
          <w:rFonts w:ascii="Times New Roman" w:hAnsi="Times New Roman"/>
          <w:b w:val="0"/>
          <w:i w:val="0"/>
          <w:sz w:val="24"/>
        </w:rPr>
        <w:t>En paralelo, el campo del Machine Learning ha experimentado avances significativos en su aplicación a problemas financieros. Gu, Kelly y Xiu (2020), en su influyente estudio "Empirical Asset Pricing via Machine Learning", demostraron que los modelos de gradient boosting, y en particular XGBoost, superan a los modelos lineales tradicionales en la predicción de retornos de activos, capturando relaciones no lineales e interacciones entre variables que los modelos clásicos ignoran.</w:t>
      </w:r>
    </w:p>
    <w:p>
      <w:pPr>
        <w:spacing w:line="360" w:lineRule="auto"/>
        <w:jc w:val="both"/>
      </w:pPr>
      <w:r>
        <w:rPr>
          <w:rFonts w:ascii="Times New Roman" w:hAnsi="Times New Roman"/>
          <w:rFonts w:ascii="Times New Roman" w:hAnsi="Times New Roman"/>
          <w:b w:val="0"/>
          <w:i w:val="0"/>
          <w:sz w:val="24"/>
        </w:rPr>
        <w:t>Los ETFs (Exchange-Traded Funds) han democratizado el acceso a la diversificación entre clases de activos, permitiendo a inversores de cualquier tamaño construir carteras globales con costes reducidos. Un universo de 10 ETFs bien seleccionados puede cubrir renta variable de distintas geografías, renta fija, materias primas e inmobiliario, proporcionando los ingredientes necesarios para una optimización multi-activo efectiva.</w:t>
      </w:r>
    </w:p>
    <w:p>
      <w:pPr>
        <w:spacing w:line="360" w:lineRule="auto"/>
        <w:jc w:val="both"/>
      </w:pPr>
      <w:r>
        <w:rPr>
          <w:rFonts w:ascii="Times New Roman" w:hAnsi="Times New Roman"/>
          <w:rFonts w:ascii="Times New Roman" w:hAnsi="Times New Roman"/>
          <w:b w:val="0"/>
          <w:i w:val="0"/>
          <w:sz w:val="24"/>
        </w:rPr>
        <w:t>Este trabajo se sitúa en la intersección de estos dos campos: utiliza modelos de Machine Learning (XGBoost y LightGBM) para predecir retornos semanales de ETFs, y alimenta estas predicciones a un optimizador de Markowitz que asigna pesos dinámicamente cada semana. La hipótesis central es que las predicciones de ML, al incorporar señales macroeconómicas, de riesgo y de sentimiento más allá de los retornos históricos, pueden generar carteras que superen consistentemente a los benchmarks clásicos.</w:t>
      </w:r>
    </w:p>
    <w:p>
      <w:pPr>
        <w:pStyle w:val="Heading2"/>
      </w:pPr>
      <w:r>
        <w:rPr>
          <w:rFonts w:ascii="Times New Roman" w:hAnsi="Times New Roman" w:cs="Times New Roman"/>
          <w:rFonts w:ascii="Times New Roman" w:hAnsi="Times New Roman"/>
          <w:color w:val="000000"/>
          <w:sz w:val="24"/>
        </w:rPr>
        <w:t>1.2. Planteamiento del problema</w:t>
      </w:r>
    </w:p>
    <w:p>
      <w:pPr>
        <w:spacing w:line="360" w:lineRule="auto"/>
        <w:jc w:val="both"/>
      </w:pPr>
      <w:r>
        <w:rPr>
          <w:rFonts w:ascii="Times New Roman" w:hAnsi="Times New Roman"/>
          <w:rFonts w:ascii="Times New Roman" w:hAnsi="Times New Roman"/>
          <w:b w:val="0"/>
          <w:i w:val="0"/>
          <w:sz w:val="24"/>
        </w:rPr>
        <w:t>La pregunta de investigación que guía este trabajo es: ¿puede un sistema basado en XGBoost y LightGBM, alimentado con señales macroeconómicas, de riesgo, de liquidez y de sentimiento, generar carteras de ETFs que superen consistentemente a los benchmarks clásicos (60/40, equal-weight, Markowitz) en métricas de rentabilidad ajustada al riesgo?</w:t>
      </w:r>
    </w:p>
    <w:p>
      <w:pPr>
        <w:spacing w:line="360" w:lineRule="auto"/>
        <w:jc w:val="both"/>
      </w:pPr>
      <w:r>
        <w:rPr>
          <w:rFonts w:ascii="Times New Roman" w:hAnsi="Times New Roman"/>
          <w:rFonts w:ascii="Times New Roman" w:hAnsi="Times New Roman"/>
          <w:b w:val="0"/>
          <w:i w:val="0"/>
          <w:sz w:val="24"/>
        </w:rPr>
        <w:t>El reto principal reside en evitar el sobreajuste (overfitting) en un entorno donde la señal predictiva es inherentemente débil. Los retornos financieros son extremadamente ruidosos: una precisión direccional del 55-60% ya constituye un resultado notable en la literatura (Gu et al., 2020). Para garantizar la validez de los resultados, se implementa un protocolo de validación walk-forward con expanding window, embargo temporal entre entrenamiento y test, y reentrenamiento semanal, siguiendo las mejores prácticas de de Prado (2018).</w:t>
      </w:r>
    </w:p>
    <w:p>
      <w:pPr>
        <w:pStyle w:val="Heading2"/>
      </w:pPr>
      <w:r>
        <w:rPr>
          <w:rFonts w:ascii="Times New Roman" w:hAnsi="Times New Roman" w:cs="Times New Roman"/>
          <w:rFonts w:ascii="Times New Roman" w:hAnsi="Times New Roman"/>
          <w:color w:val="000000"/>
          <w:sz w:val="24"/>
        </w:rPr>
        <w:t>1.3. Alcance del proyecto</w:t>
      </w:r>
    </w:p>
    <w:p>
      <w:pPr>
        <w:spacing w:line="360" w:lineRule="auto"/>
        <w:jc w:val="both"/>
      </w:pPr>
      <w:r>
        <w:rPr>
          <w:rFonts w:ascii="Times New Roman" w:hAnsi="Times New Roman"/>
          <w:rFonts w:ascii="Times New Roman" w:hAnsi="Times New Roman"/>
          <w:b w:val="0"/>
          <w:i w:val="0"/>
          <w:sz w:val="24"/>
        </w:rPr>
        <w:t>El alcance del proyecto se define por los siguientes elementos:</w:t>
      </w:r>
    </w:p>
    <w:p>
      <w:pPr>
        <w:pStyle w:val="ListBullet"/>
        <w:spacing w:line="360" w:lineRule="auto"/>
      </w:pPr>
      <w:r>
        <w:rPr>
          <w:rFonts w:ascii="Times New Roman" w:hAnsi="Times New Roman"/>
          <w:sz w:val="24"/>
        </w:rPr>
        <w:t>Universo de inversión: 10 ETFs que cubren 5 clases de activos — renta variable (SPY, QQQ, IWM, EFA, EEM), renta fija (AGG, LQD, TIP), oro (GLD) e inmobiliario (VNQ).</w:t>
      </w:r>
    </w:p>
    <w:p>
      <w:pPr>
        <w:pStyle w:val="ListBullet"/>
        <w:spacing w:line="360" w:lineRule="auto"/>
      </w:pPr>
      <w:r>
        <w:rPr>
          <w:rFonts w:ascii="Times New Roman" w:hAnsi="Times New Roman"/>
          <w:sz w:val="24"/>
        </w:rPr>
        <w:t>Período de datos: marzo 2007 a febrero 2026 (987 semanas), abarcando la Gran Crisis Financiera, la pandemia de COVID-19 y el ciclo de subidas de tipos de 2022-2024.</w:t>
      </w:r>
    </w:p>
    <w:p>
      <w:pPr>
        <w:pStyle w:val="ListBullet"/>
        <w:spacing w:line="360" w:lineRule="auto"/>
      </w:pPr>
      <w:r>
        <w:rPr>
          <w:rFonts w:ascii="Times New Roman" w:hAnsi="Times New Roman"/>
          <w:sz w:val="24"/>
        </w:rPr>
        <w:t>Variables predictivas: 109 features organizadas en 6 dimensiones — mercado (60), riesgo (4), macro (4), liquidez (4), sentimiento (15) y NLP de noticias (22).</w:t>
      </w:r>
    </w:p>
    <w:p>
      <w:pPr>
        <w:pStyle w:val="ListBullet"/>
        <w:spacing w:line="360" w:lineRule="auto"/>
      </w:pPr>
      <w:r>
        <w:rPr>
          <w:rFonts w:ascii="Times New Roman" w:hAnsi="Times New Roman"/>
          <w:sz w:val="24"/>
        </w:rPr>
        <w:t>Validación: walk-forward expanding window con 778 splits out-of-sample, embargo de 1 semana, y reentrenamiento semanal.</w:t>
      </w:r>
    </w:p>
    <w:p>
      <w:pPr>
        <w:pStyle w:val="ListBullet"/>
        <w:spacing w:line="360" w:lineRule="auto"/>
      </w:pPr>
      <w:r>
        <w:rPr>
          <w:rFonts w:ascii="Times New Roman" w:hAnsi="Times New Roman"/>
          <w:sz w:val="24"/>
        </w:rPr>
        <w:t>Benchmarks de comparación: cartera 60/40 (SPY/AGG), cartera equiponderada (1/10 en cada ETF), y optimización de Markowitz walk-forward clásica.</w:t>
      </w:r>
    </w:p>
    <w:p>
      <w:pPr>
        <w:pStyle w:val="ListBullet"/>
        <w:spacing w:line="360" w:lineRule="auto"/>
      </w:pPr>
      <w:r>
        <w:rPr>
          <w:rFonts w:ascii="Times New Roman" w:hAnsi="Times New Roman"/>
          <w:sz w:val="24"/>
        </w:rPr>
        <w:t>Restricciones de inversión: posiciones solo largas (long-only), máximo 40% en un solo activo, pesos suman 100%.</w:t>
      </w:r>
    </w:p>
    <w:p>
      <w:pPr>
        <w:pStyle w:val="Heading2"/>
      </w:pPr>
      <w:r>
        <w:rPr>
          <w:rFonts w:ascii="Times New Roman" w:hAnsi="Times New Roman" w:cs="Times New Roman"/>
          <w:rFonts w:ascii="Times New Roman" w:hAnsi="Times New Roman"/>
          <w:color w:val="000000"/>
          <w:sz w:val="24"/>
        </w:rPr>
        <w:t>1.4. Estructura del documento</w:t>
      </w:r>
    </w:p>
    <w:p>
      <w:pPr>
        <w:spacing w:line="360" w:lineRule="auto"/>
        <w:jc w:val="both"/>
      </w:pPr>
      <w:r>
        <w:rPr>
          <w:rFonts w:ascii="Times New Roman" w:hAnsi="Times New Roman"/>
          <w:rFonts w:ascii="Times New Roman" w:hAnsi="Times New Roman"/>
          <w:b w:val="0"/>
          <w:i w:val="0"/>
          <w:sz w:val="24"/>
        </w:rPr>
        <w:t>El documento se organiza en las siguientes secciones. La Sección 2 presenta los objetivos generales y específicos del trabajo. La Sección 3 revisa el estado del arte en optimización de carteras, Machine Learning financiero e interpretabilidad. La Sección 4 detalla el proceso de ingeniería del dato: extracción, transformación, limpieza, feature engineering y análisis exploratorio. La Sección 5 aborda el análisis del dato: marco teórico, entrenamiento de modelos, optimización de hiperparámetros con Optuna, evaluación de resultados e interpretación con SHAP. La Sección 6 presenta el análisis de negocio con las implicaciones prácticas de los resultados. Finalmente, la Sección 7 recoge las conclusiones, limitaciones y líneas de trabajo futuro.</w:t>
      </w:r>
    </w:p>
    <w:p>
      <w:pPr>
        <w:spacing w:line="360" w:lineRule="auto"/>
        <w:jc w:val="both"/>
      </w:pPr>
      <w:r>
        <w:rPr>
          <w:rFonts w:ascii="Times New Roman" w:hAnsi="Times New Roman"/>
          <w:rFonts w:ascii="Times New Roman" w:hAnsi="Times New Roman"/>
          <w:b w:val="0"/>
          <w:i/>
          <w:sz w:val="24"/>
        </w:rPr>
        <w:t>El código fuente completo del proyecto está disponible en el repositorio público de GitHub: https://github.com/mateomadrigal/TFG-OPTIMIZATION-ML-1</w:t>
      </w:r>
    </w:p>
    <w:p>
      <w:r>
        <w:br w:type="page"/>
      </w:r>
    </w:p>
    <w:p>
      <w:pPr>
        <w:pStyle w:val="Heading1"/>
      </w:pPr>
      <w:r>
        <w:rPr>
          <w:rFonts w:ascii="Times New Roman" w:hAnsi="Times New Roman" w:cs="Times New Roman"/>
          <w:rFonts w:ascii="Times New Roman" w:hAnsi="Times New Roman"/>
          <w:color w:val="000000"/>
          <w:sz w:val="28"/>
        </w:rPr>
        <w:t>2. Objetivos</w:t>
      </w:r>
    </w:p>
    <w:p>
      <w:pPr>
        <w:pStyle w:val="Heading2"/>
      </w:pPr>
      <w:r>
        <w:rPr>
          <w:rFonts w:ascii="Times New Roman" w:hAnsi="Times New Roman" w:cs="Times New Roman"/>
          <w:rFonts w:ascii="Times New Roman" w:hAnsi="Times New Roman"/>
          <w:color w:val="000000"/>
          <w:sz w:val="24"/>
        </w:rPr>
        <w:t>2.1. Objetivo general</w:t>
      </w:r>
    </w:p>
    <w:p>
      <w:pPr>
        <w:spacing w:line="360" w:lineRule="auto"/>
        <w:jc w:val="both"/>
      </w:pPr>
      <w:r>
        <w:rPr>
          <w:rFonts w:ascii="Times New Roman" w:hAnsi="Times New Roman"/>
          <w:rFonts w:ascii="Times New Roman" w:hAnsi="Times New Roman"/>
          <w:b w:val="0"/>
          <w:i w:val="0"/>
          <w:sz w:val="24"/>
        </w:rPr>
        <w:t>Diseñar, implementar y evaluar un sistema de optimización dinámica de carteras de inversión basado en predicciones de retornos semanales generadas por modelos de gradient boosting (XGBoost y LightGBM), combinados con un optimizador de Markowitz de media-varianza, validado out-of-sample mediante walk-forward expanding window.</w:t>
      </w:r>
    </w:p>
    <w:p>
      <w:pPr>
        <w:pStyle w:val="Heading2"/>
      </w:pPr>
      <w:r>
        <w:rPr>
          <w:rFonts w:ascii="Times New Roman" w:hAnsi="Times New Roman" w:cs="Times New Roman"/>
          <w:rFonts w:ascii="Times New Roman" w:hAnsi="Times New Roman"/>
          <w:color w:val="000000"/>
          <w:sz w:val="24"/>
        </w:rPr>
        <w:t>2.2. Objetivos específicos</w:t>
      </w:r>
    </w:p>
    <w:p>
      <w:pPr>
        <w:spacing w:line="360" w:lineRule="auto"/>
        <w:jc w:val="both"/>
      </w:pPr>
      <w:r>
        <w:rPr>
          <w:rFonts w:ascii="Times New Roman" w:hAnsi="Times New Roman"/>
          <w:rFonts w:ascii="Times New Roman" w:hAnsi="Times New Roman"/>
          <w:b w:val="0"/>
          <w:i w:val="0"/>
          <w:sz w:val="24"/>
        </w:rPr>
        <w:t>OE1: Construir un dataset multidimensional de 109 variables predictivas a partir de 6 fuentes de datos (Yahoo Finance, FRED, Google Trends, AAII, Refinitiv), cubriendo 5 dimensiones informativas (mercado, macro, riesgo, liquidez, sentimiento) más NLP de noticias, con un proceso ETL completamente reproducible.</w:t>
      </w:r>
    </w:p>
    <w:p>
      <w:pPr>
        <w:spacing w:line="360" w:lineRule="auto"/>
        <w:jc w:val="both"/>
      </w:pPr>
      <w:r>
        <w:rPr>
          <w:rFonts w:ascii="Times New Roman" w:hAnsi="Times New Roman"/>
          <w:rFonts w:ascii="Times New Roman" w:hAnsi="Times New Roman"/>
          <w:b w:val="0"/>
          <w:i w:val="0"/>
          <w:sz w:val="24"/>
        </w:rPr>
        <w:t>OE2: Entrenar y optimizar modelos XGBoost y LightGBM con Optuna (75 trials por modelo) para la predicción de retornos semanales de 10 ETFs, implementando early stopping y regularización para prevenir el sobreajuste.</w:t>
      </w:r>
    </w:p>
    <w:p>
      <w:pPr>
        <w:spacing w:line="360" w:lineRule="auto"/>
        <w:jc w:val="both"/>
      </w:pPr>
      <w:r>
        <w:rPr>
          <w:rFonts w:ascii="Times New Roman" w:hAnsi="Times New Roman"/>
          <w:rFonts w:ascii="Times New Roman" w:hAnsi="Times New Roman"/>
          <w:b w:val="0"/>
          <w:i w:val="0"/>
          <w:sz w:val="24"/>
        </w:rPr>
        <w:t>OE3: Diseñar un pipeline de walk-forward con expanding window, embargo temporal de 1 semana y reentrenamiento semanal que garantice la validez out-of-sample de los resultados sobre 778 semanas de test.</w:t>
      </w:r>
    </w:p>
    <w:p>
      <w:pPr>
        <w:spacing w:line="360" w:lineRule="auto"/>
        <w:jc w:val="both"/>
      </w:pPr>
      <w:r>
        <w:rPr>
          <w:rFonts w:ascii="Times New Roman" w:hAnsi="Times New Roman"/>
          <w:rFonts w:ascii="Times New Roman" w:hAnsi="Times New Roman"/>
          <w:b w:val="0"/>
          <w:i w:val="0"/>
          <w:sz w:val="24"/>
        </w:rPr>
        <w:t>OE4: Comparar las carteras ML-optimizadas contra tres benchmarks financieros clásicos (60/40, equal-weight, Markowitz walk-forward) mediante métricas de rentabilidad ajustada al riesgo: Sharpe, Sortino, Max Drawdown y Calmar.</w:t>
      </w:r>
    </w:p>
    <w:p>
      <w:pPr>
        <w:spacing w:line="360" w:lineRule="auto"/>
        <w:jc w:val="both"/>
      </w:pPr>
      <w:r>
        <w:rPr>
          <w:rFonts w:ascii="Times New Roman" w:hAnsi="Times New Roman"/>
          <w:rFonts w:ascii="Times New Roman" w:hAnsi="Times New Roman"/>
          <w:b w:val="0"/>
          <w:i w:val="0"/>
          <w:sz w:val="24"/>
        </w:rPr>
        <w:t>OE5: Interpretar las predicciones del modelo mediante SHAP (SHapley Additive exPlanations) para identificar las variables y dimensiones que aportan mayor poder predictivo, generando visualizaciones interpretables.</w:t>
      </w:r>
    </w:p>
    <w:p>
      <w:pPr>
        <w:spacing w:line="360" w:lineRule="auto"/>
        <w:jc w:val="both"/>
      </w:pPr>
      <w:r>
        <w:rPr>
          <w:rFonts w:ascii="Times New Roman" w:hAnsi="Times New Roman"/>
          <w:rFonts w:ascii="Times New Roman" w:hAnsi="Times New Roman"/>
          <w:b w:val="0"/>
          <w:i w:val="0"/>
          <w:sz w:val="24"/>
        </w:rPr>
        <w:t>OE6: Investigar la robustez del modelo mediante feature selection basada en SHAP y enriquecimiento del dataset con variables adicionales, documentando los resultados de cada experimento.</w:t>
      </w:r>
    </w:p>
    <w:p>
      <w:r>
        <w:br w:type="page"/>
      </w:r>
    </w:p>
    <w:p>
      <w:pPr>
        <w:pStyle w:val="Heading1"/>
      </w:pPr>
      <w:r>
        <w:rPr>
          <w:rFonts w:ascii="Times New Roman" w:hAnsi="Times New Roman" w:cs="Times New Roman"/>
          <w:rFonts w:ascii="Times New Roman" w:hAnsi="Times New Roman"/>
          <w:color w:val="000000"/>
          <w:sz w:val="28"/>
        </w:rPr>
        <w:t>3. Estado del Arte</w:t>
      </w:r>
    </w:p>
    <w:p>
      <w:pPr>
        <w:pStyle w:val="Heading2"/>
      </w:pPr>
      <w:r>
        <w:rPr>
          <w:rFonts w:ascii="Times New Roman" w:hAnsi="Times New Roman" w:cs="Times New Roman"/>
          <w:rFonts w:ascii="Times New Roman" w:hAnsi="Times New Roman"/>
          <w:color w:val="000000"/>
          <w:sz w:val="24"/>
        </w:rPr>
        <w:t>3.1. Teoría moderna de carteras</w:t>
      </w:r>
    </w:p>
    <w:p>
      <w:pPr>
        <w:spacing w:line="360" w:lineRule="auto"/>
        <w:jc w:val="both"/>
      </w:pPr>
      <w:r>
        <w:rPr>
          <w:rFonts w:ascii="Times New Roman" w:hAnsi="Times New Roman"/>
          <w:rFonts w:ascii="Times New Roman" w:hAnsi="Times New Roman"/>
          <w:b w:val="0"/>
          <w:i w:val="0"/>
          <w:sz w:val="24"/>
        </w:rPr>
        <w:t>La teoría moderna de carteras tiene su origen en el trabajo seminal de Markowitz (1952), quien formalizó el problema de selección de carteras como una optimización de media-varianza: dado un conjunto de activos con retornos esperados y una matriz de covarianzas, el inversor busca la combinación de pesos que maximice el retorno esperado para un nivel dado de riesgo, o equivalentemente, que minimice el riesgo para un retorno objetivo. El conjunto de carteras óptimas forma la llamada frontera eficiente.</w:t>
      </w:r>
    </w:p>
    <w:p>
      <w:pPr>
        <w:spacing w:line="360" w:lineRule="auto"/>
        <w:jc w:val="both"/>
      </w:pPr>
      <w:r>
        <w:rPr>
          <w:rFonts w:ascii="Times New Roman" w:hAnsi="Times New Roman"/>
          <w:rFonts w:ascii="Times New Roman" w:hAnsi="Times New Roman"/>
          <w:b w:val="0"/>
          <w:i w:val="0"/>
          <w:sz w:val="24"/>
        </w:rPr>
        <w:t>Sharpe (1964) extendió este marco con el Capital Asset Pricing Model (CAPM), introduciendo el concepto de cartera de mercado y el ratio que lleva su nombre (Sharpe ratio = exceso de retorno / volatilidad), que se ha convertido en la métrica estándar de rentabilidad ajustada al riesgo. Posteriormente, Black y Litterman (1992) propusieron un modelo que combina el equilibrio de mercado con las views subjetivas del gestor, mitigando parcialmente la sensibilidad de Markowitz a errores en las estimaciones de retornos esperados.</w:t>
      </w:r>
    </w:p>
    <w:p>
      <w:pPr>
        <w:spacing w:line="360" w:lineRule="auto"/>
        <w:jc w:val="both"/>
      </w:pPr>
      <w:r>
        <w:rPr>
          <w:rFonts w:ascii="Times New Roman" w:hAnsi="Times New Roman"/>
          <w:rFonts w:ascii="Times New Roman" w:hAnsi="Times New Roman"/>
          <w:b w:val="0"/>
          <w:i w:val="0"/>
          <w:sz w:val="24"/>
        </w:rPr>
        <w:t>Sin embargo, la aplicación práctica de la optimización de Markowitz presenta limitaciones bien documentadas. DeMiguel, Garlappi y Uppal (2009) demostraron en un estudio con 14 modelos de asignación de activos que la cartera equiponderada 1/N supera consistentemente a las carteras optimizadas fuera de muestra, debido a que los errores de estimación de la media y la covarianza amplifican las posiciones extremas. Este resultado, conocido como la "maldición de Markowitz", motivó la búsqueda de enfoques alternativos para la asignación de activos.</w:t>
      </w:r>
    </w:p>
    <w:p>
      <w:pPr>
        <w:pStyle w:val="Heading2"/>
      </w:pPr>
      <w:r>
        <w:rPr>
          <w:rFonts w:ascii="Times New Roman" w:hAnsi="Times New Roman" w:cs="Times New Roman"/>
          <w:rFonts w:ascii="Times New Roman" w:hAnsi="Times New Roman"/>
          <w:color w:val="000000"/>
          <w:sz w:val="24"/>
        </w:rPr>
        <w:t>3.2. Machine Learning en predicción financiera</w:t>
      </w:r>
    </w:p>
    <w:p>
      <w:pPr>
        <w:spacing w:line="360" w:lineRule="auto"/>
        <w:jc w:val="both"/>
      </w:pPr>
      <w:r>
        <w:rPr>
          <w:rFonts w:ascii="Times New Roman" w:hAnsi="Times New Roman"/>
          <w:rFonts w:ascii="Times New Roman" w:hAnsi="Times New Roman"/>
          <w:b w:val="0"/>
          <w:i w:val="0"/>
          <w:sz w:val="24"/>
        </w:rPr>
        <w:t>La aplicación de Machine Learning a la predicción de retornos financieros ha experimentado un crecimiento exponencial en la última década. El trabajo de referencia es Gu, Kelly y Xiu (2020), "Empirical Asset Pricing via Machine Learning", publicado en The Review of Financial Studies. Los autores compararon modelos lineales, árboles de decisión, random forests, gradient boosting y redes neuronales en la predicción de retornos mensuales de acciones estadounidenses, concluyendo que los modelos de gradient boosting y las redes neuronales superan significativamente a los modelos lineales, capturando relaciones no lineales e interacciones entre variables macroeconómicas y características de las acciones.</w:t>
      </w:r>
    </w:p>
    <w:p>
      <w:pPr>
        <w:spacing w:line="360" w:lineRule="auto"/>
        <w:jc w:val="both"/>
      </w:pPr>
      <w:r>
        <w:rPr>
          <w:rFonts w:ascii="Times New Roman" w:hAnsi="Times New Roman"/>
          <w:rFonts w:ascii="Times New Roman" w:hAnsi="Times New Roman"/>
          <w:b w:val="0"/>
          <w:i w:val="0"/>
          <w:sz w:val="24"/>
        </w:rPr>
        <w:t>Fischer y Krauss (2018) aplicaron redes LSTM (Long Short-Term Memory) a la predicción de retornos diarios de acciones del S&amp;P 500, obteniendo una precisión direccional del 56% y retornos significativos después de costes de transacción. Leippold, Wang y Zhou (2022) extendieron el análisis de Gu et al. al contexto de gestión de carteras, demostrando que las predicciones de ML mejoran la asignación de activos cuando se combinan con restricciones de inversión realistas.</w:t>
      </w:r>
    </w:p>
    <w:p>
      <w:pPr>
        <w:spacing w:line="360" w:lineRule="auto"/>
        <w:jc w:val="both"/>
      </w:pPr>
      <w:r>
        <w:rPr>
          <w:rFonts w:ascii="Times New Roman" w:hAnsi="Times New Roman"/>
          <w:rFonts w:ascii="Times New Roman" w:hAnsi="Times New Roman"/>
          <w:b w:val="0"/>
          <w:i w:val="0"/>
          <w:sz w:val="24"/>
        </w:rPr>
        <w:t>Un reto fundamental en la predicción financiera es el sobreajuste. Los retornos de activos financieros tienen una ratio señal-ruido extremadamente baja: la mayor parte de la variación es imprevisible. De Prado (2018) enfatiza la necesidad de protocolos de validación rigurosos, incluyendo walk-forward validation con purging y embargo temporal, para evitar que los resultados de backtesting sobrestimen el rendimiento real del modelo.</w:t>
      </w:r>
    </w:p>
    <w:p>
      <w:pPr>
        <w:pStyle w:val="Heading2"/>
      </w:pPr>
      <w:r>
        <w:rPr>
          <w:rFonts w:ascii="Times New Roman" w:hAnsi="Times New Roman" w:cs="Times New Roman"/>
          <w:rFonts w:ascii="Times New Roman" w:hAnsi="Times New Roman"/>
          <w:color w:val="000000"/>
          <w:sz w:val="24"/>
        </w:rPr>
        <w:t>3.3. Gradient Boosting: XGBoost y LightGBM</w:t>
      </w:r>
    </w:p>
    <w:p>
      <w:pPr>
        <w:spacing w:line="360" w:lineRule="auto"/>
        <w:jc w:val="both"/>
      </w:pPr>
      <w:r>
        <w:rPr>
          <w:rFonts w:ascii="Times New Roman" w:hAnsi="Times New Roman"/>
          <w:rFonts w:ascii="Times New Roman" w:hAnsi="Times New Roman"/>
          <w:b w:val="0"/>
          <w:i w:val="0"/>
          <w:sz w:val="24"/>
        </w:rPr>
        <w:t>Los modelos de gradient boosting, formalizados por Friedman (2001), construyen un ensemble de árboles de decisión de forma secuencial, donde cada árbol nuevo corrige los errores residuales del anterior. Este enfoque ha demostrado un rendimiento excepcional en problemas con datos tabulares, siendo el algoritmo dominante en competiciones de ciencia de datos durante la última década.</w:t>
      </w:r>
    </w:p>
    <w:p>
      <w:pPr>
        <w:spacing w:line="360" w:lineRule="auto"/>
        <w:jc w:val="both"/>
      </w:pPr>
      <w:r>
        <w:rPr>
          <w:rFonts w:ascii="Times New Roman" w:hAnsi="Times New Roman"/>
          <w:rFonts w:ascii="Times New Roman" w:hAnsi="Times New Roman"/>
          <w:b w:val="0"/>
          <w:i w:val="0"/>
          <w:sz w:val="24"/>
        </w:rPr>
        <w:t>XGBoost (eXtreme Gradient Boosting), propuesto por Chen y Guestrin (2016), incorpora regularización L1 y L2 en la función objetivo, manejo nativo de valores faltantes (NaN) y un algoritmo de búsqueda de splits aproximado que escala eficientemente a grandes volúmenes de datos. Su capacidad para trabajar directamente con datos incompletos es particularmente relevante en finanzas, donde los indicadores macroeconómicos se publican con frecuencias heterogéneas.</w:t>
      </w:r>
    </w:p>
    <w:p>
      <w:pPr>
        <w:spacing w:line="360" w:lineRule="auto"/>
        <w:jc w:val="both"/>
      </w:pPr>
      <w:r>
        <w:rPr>
          <w:rFonts w:ascii="Times New Roman" w:hAnsi="Times New Roman"/>
          <w:rFonts w:ascii="Times New Roman" w:hAnsi="Times New Roman"/>
          <w:b w:val="0"/>
          <w:i w:val="0"/>
          <w:sz w:val="24"/>
        </w:rPr>
        <w:t>LightGBM, desarrollado por Ke et al. (2017) en Microsoft Research, introdujo dos innovaciones que mejoran la eficiencia computacional: el crecimiento del árbol leaf-wise (en lugar del level-wise de XGBoost) y las técnicas GOSS (Gradient-based One-Side Sampling) y EFB (Exclusive Feature Bundling). Estas optimizaciones permiten entrenar modelos significativamente más rápido sin sacrificar precisión, lo que resulta especialmente ventajoso cuando se entrenan miles de modelos en un walk-forward semanal.</w:t>
      </w:r>
    </w:p>
    <w:p>
      <w:pPr>
        <w:pStyle w:val="Heading2"/>
      </w:pPr>
      <w:r>
        <w:rPr>
          <w:rFonts w:ascii="Times New Roman" w:hAnsi="Times New Roman" w:cs="Times New Roman"/>
          <w:rFonts w:ascii="Times New Roman" w:hAnsi="Times New Roman"/>
          <w:color w:val="000000"/>
          <w:sz w:val="24"/>
        </w:rPr>
        <w:t>3.4. Validación en series temporales financieras</w:t>
      </w:r>
    </w:p>
    <w:p>
      <w:pPr>
        <w:spacing w:line="360" w:lineRule="auto"/>
        <w:jc w:val="both"/>
      </w:pPr>
      <w:r>
        <w:rPr>
          <w:rFonts w:ascii="Times New Roman" w:hAnsi="Times New Roman"/>
          <w:rFonts w:ascii="Times New Roman" w:hAnsi="Times New Roman"/>
          <w:b w:val="0"/>
          <w:i w:val="0"/>
          <w:sz w:val="24"/>
        </w:rPr>
        <w:t>La validación de modelos predictivos en series temporales financieras requiere protocolos específicos que respeten la estructura temporal de los datos. Tashman (2000) formalizó el concepto de walk-forward validation: en lugar de una única partición train-test, el modelo se reentrena periódicamente con una ventana de entrenamiento que se expande (expanding window) o se desplaza (sliding window), y se evalúa en el periodo inmediatamente posterior.</w:t>
      </w:r>
    </w:p>
    <w:p>
      <w:pPr>
        <w:spacing w:line="360" w:lineRule="auto"/>
        <w:jc w:val="both"/>
      </w:pPr>
      <w:r>
        <w:rPr>
          <w:rFonts w:ascii="Times New Roman" w:hAnsi="Times New Roman"/>
          <w:rFonts w:ascii="Times New Roman" w:hAnsi="Times New Roman"/>
          <w:b w:val="0"/>
          <w:i w:val="0"/>
          <w:sz w:val="24"/>
        </w:rPr>
        <w:t>De Prado (2018) introdujo los conceptos de purging (eliminación de muestras del entrenamiento que se solapan temporalmente con el test) y embargo (un gap temporal entre entrenamiento y test para evitar leakage por autocorrelación). En este trabajo se implementa un embargo de 1 semana entre el último dato de entrenamiento y la semana de test, y se reentrena el modelo cada semana con todos los datos disponibles hasta ese momento (expanding window).</w:t>
      </w:r>
    </w:p>
    <w:p>
      <w:pPr>
        <w:pStyle w:val="Heading2"/>
      </w:pPr>
      <w:r>
        <w:rPr>
          <w:rFonts w:ascii="Times New Roman" w:hAnsi="Times New Roman" w:cs="Times New Roman"/>
          <w:rFonts w:ascii="Times New Roman" w:hAnsi="Times New Roman"/>
          <w:color w:val="000000"/>
          <w:sz w:val="24"/>
        </w:rPr>
        <w:t>3.5. Interpretabilidad: SHAP</w:t>
      </w:r>
    </w:p>
    <w:p>
      <w:pPr>
        <w:spacing w:line="360" w:lineRule="auto"/>
        <w:jc w:val="both"/>
      </w:pPr>
      <w:r>
        <w:rPr>
          <w:rFonts w:ascii="Times New Roman" w:hAnsi="Times New Roman"/>
          <w:rFonts w:ascii="Times New Roman" w:hAnsi="Times New Roman"/>
          <w:b w:val="0"/>
          <w:i w:val="0"/>
          <w:sz w:val="24"/>
        </w:rPr>
        <w:t>La interpretabilidad de los modelos de Machine Learning es un requisito creciente tanto en la investigación académica como en la regulación financiera. Lundberg y Lee (2017) propusieron SHAP (SHapley Additive exPlanations), un marco unificado basado en la teoría de juegos cooperativos de Shapley que asigna a cada variable una contribución marginal a la predicción de cada observación individual.</w:t>
      </w:r>
    </w:p>
    <w:p>
      <w:pPr>
        <w:spacing w:line="360" w:lineRule="auto"/>
        <w:jc w:val="both"/>
      </w:pPr>
      <w:r>
        <w:rPr>
          <w:rFonts w:ascii="Times New Roman" w:hAnsi="Times New Roman"/>
          <w:rFonts w:ascii="Times New Roman" w:hAnsi="Times New Roman"/>
          <w:b w:val="0"/>
          <w:i w:val="0"/>
          <w:sz w:val="24"/>
        </w:rPr>
        <w:t>TreeSHAP (Lundberg et al., 2020), publicado en Nature Machine Intelligence, es un algoritmo exacto y eficiente para calcular valores SHAP en modelos de árboles, con complejidad O(TLD²) donde T es el número de árboles, L el número de hojas y D la profundidad. Esta eficiencia permite calcular explicaciones completas para miles de observaciones en segundos, facilitando tanto la interpretación global (qué variables son más importantes en general) como la local (por qué el modelo predijo X para una semana concreta).</w:t>
      </w:r>
    </w:p>
    <w:p>
      <w:pPr>
        <w:pStyle w:val="Heading2"/>
      </w:pPr>
      <w:r>
        <w:rPr>
          <w:rFonts w:ascii="Times New Roman" w:hAnsi="Times New Roman" w:cs="Times New Roman"/>
          <w:rFonts w:ascii="Times New Roman" w:hAnsi="Times New Roman"/>
          <w:color w:val="000000"/>
          <w:sz w:val="24"/>
        </w:rPr>
        <w:t>3.6. Señales alternativas en finanzas</w:t>
      </w:r>
    </w:p>
    <w:p>
      <w:pPr>
        <w:spacing w:line="360" w:lineRule="auto"/>
        <w:jc w:val="both"/>
      </w:pPr>
      <w:r>
        <w:rPr>
          <w:rFonts w:ascii="Times New Roman" w:hAnsi="Times New Roman"/>
          <w:rFonts w:ascii="Times New Roman" w:hAnsi="Times New Roman"/>
          <w:b w:val="0"/>
          <w:i w:val="0"/>
          <w:sz w:val="24"/>
        </w:rPr>
        <w:t>La incorporación de datos alternativos (alternative data) a los modelos de inversión es una tendencia consolidada en la industria de gestión de activos. Baker y Wurgler (2006) demostraron que el sentimiento de los inversores tiene poder predictivo sobre los retornos de las acciones, especialmente en activos más difíciles de valorar y arbitrar.</w:t>
      </w:r>
    </w:p>
    <w:p>
      <w:pPr>
        <w:spacing w:line="360" w:lineRule="auto"/>
        <w:jc w:val="both"/>
      </w:pPr>
      <w:r>
        <w:rPr>
          <w:rFonts w:ascii="Times New Roman" w:hAnsi="Times New Roman"/>
          <w:rFonts w:ascii="Times New Roman" w:hAnsi="Times New Roman"/>
          <w:b w:val="0"/>
          <w:i w:val="0"/>
          <w:sz w:val="24"/>
        </w:rPr>
        <w:t>Da, Engelberg y Gao (2015) propusieron el índice FEARS (Financial and Economic Attitudes Revealed by Search), basado en volúmenes de búsqueda de Google Trends para términos relacionados con el miedo financiero ("recession", "unemployment", "bear market"), demostrando que los picos en estas búsquedas predicen caídas temporales del mercado seguidas de reversiones. La encuesta de sentimiento AAII (American Association of Individual Investors) proporciona una medida directa del sentimiento retail, que históricamente ha funcionado como indicador contrarian.</w:t>
      </w:r>
    </w:p>
    <w:p>
      <w:pPr>
        <w:spacing w:line="360" w:lineRule="auto"/>
        <w:jc w:val="both"/>
      </w:pPr>
      <w:r>
        <w:rPr>
          <w:rFonts w:ascii="Times New Roman" w:hAnsi="Times New Roman"/>
          <w:rFonts w:ascii="Times New Roman" w:hAnsi="Times New Roman"/>
          <w:b w:val="0"/>
          <w:i w:val="0"/>
          <w:sz w:val="24"/>
        </w:rPr>
        <w:t>En el ámbito del procesamiento de lenguaje natural (NLP) aplicado a noticias financieras, el algoritmo VADER (Valence Aware Dictionary and sEntiment Reasoner) se ha consolidado como una herramienta estándar para el análisis de sentimiento de textos cortos como titulares, al no requerir entrenamiento previo y estar validado para el dominio financiero.</w:t>
      </w:r>
    </w:p>
    <w:p>
      <w:pPr>
        <w:pStyle w:val="Heading2"/>
      </w:pPr>
      <w:r>
        <w:rPr>
          <w:rFonts w:ascii="Times New Roman" w:hAnsi="Times New Roman" w:cs="Times New Roman"/>
          <w:rFonts w:ascii="Times New Roman" w:hAnsi="Times New Roman"/>
          <w:color w:val="000000"/>
          <w:sz w:val="24"/>
        </w:rPr>
        <w:t>3.7. Optimización de carteras con Machine Learning</w:t>
      </w:r>
    </w:p>
    <w:p>
      <w:pPr>
        <w:spacing w:line="360" w:lineRule="auto"/>
        <w:jc w:val="both"/>
      </w:pPr>
      <w:r>
        <w:rPr>
          <w:rFonts w:ascii="Times New Roman" w:hAnsi="Times New Roman"/>
          <w:rFonts w:ascii="Times New Roman" w:hAnsi="Times New Roman"/>
          <w:b w:val="0"/>
          <w:i w:val="0"/>
          <w:sz w:val="24"/>
        </w:rPr>
        <w:t>La combinación de predicciones de ML con optimización de carteras es un campo de investigación activo. Ban, El Karoui y Lim (2018) propusieron un enfoque de regularización basada en rendimiento que penaliza carteras con retornos inestables, mejorando la robustez fuera de muestra. Yan (2025) comparó XGBoost y LightGBM en el contexto específico de gestión de riesgo de carteras, concluyendo que ambos modelos superan a las técnicas tradicionales cuando se combinan con validación temporal adecuada.</w:t>
      </w:r>
    </w:p>
    <w:p>
      <w:pPr>
        <w:spacing w:line="360" w:lineRule="auto"/>
        <w:jc w:val="both"/>
      </w:pPr>
      <w:r>
        <w:rPr>
          <w:rFonts w:ascii="Times New Roman" w:hAnsi="Times New Roman"/>
          <w:rFonts w:ascii="Times New Roman" w:hAnsi="Times New Roman"/>
          <w:b w:val="0"/>
          <w:i w:val="0"/>
          <w:sz w:val="24"/>
        </w:rPr>
        <w:t>El enfoque adoptado en este trabajo sigue la línea de integrar las predicciones de retornos del ML como inputs del vector de retornos esperados (μ) del optimizador de Markowitz, reemplazando las medias históricas por predicciones dinámicas. Esta combinación preserva las ventajas del marco de media-varianza (diversificación, restricciones de inversión) mientras incorpora la capacidad del ML para capturar relaciones no lineales y cambios de régimen.</w:t>
      </w:r>
    </w:p>
    <w:p>
      <w:r>
        <w:br w:type="page"/>
      </w:r>
    </w:p>
    <w:p>
      <w:pPr>
        <w:pStyle w:val="Heading1"/>
      </w:pPr>
      <w:r>
        <w:rPr>
          <w:rFonts w:ascii="Times New Roman" w:hAnsi="Times New Roman" w:cs="Times New Roman"/>
          <w:rFonts w:ascii="Times New Roman" w:hAnsi="Times New Roman"/>
          <w:color w:val="000000"/>
          <w:sz w:val="28"/>
        </w:rPr>
        <w:t>4. Ingeniería del Dato</w:t>
      </w:r>
    </w:p>
    <w:p>
      <w:pPr>
        <w:spacing w:line="360" w:lineRule="auto"/>
        <w:ind w:firstLine="0"/>
        <w:jc w:val="center"/>
      </w:pPr>
      <w:r>
        <w:rPr>
          <w:rFonts w:ascii="Times New Roman" w:hAnsi="Times New Roman"/>
          <w:rFonts w:ascii="Times New Roman" w:hAnsi="Times New Roman"/>
          <w:b/>
          <w:i/>
          <w:sz w:val="24"/>
        </w:rPr>
        <w:t>[SECCIÓN POR INSERTAR — Contenido de ingenieria_del_dato_memoria.docx]</w:t>
      </w:r>
    </w:p>
    <w:p>
      <w:r>
        <w:br w:type="page"/>
      </w:r>
    </w:p>
    <w:p>
      <w:pPr>
        <w:pStyle w:val="Heading1"/>
      </w:pPr>
      <w:r>
        <w:rPr>
          <w:rFonts w:ascii="Times New Roman" w:hAnsi="Times New Roman" w:cs="Times New Roman"/>
          <w:rFonts w:ascii="Times New Roman" w:hAnsi="Times New Roman"/>
          <w:color w:val="000000"/>
          <w:sz w:val="28"/>
        </w:rPr>
        <w:t>5. Análisis del Dato</w:t>
      </w:r>
    </w:p>
    <w:p>
      <w:pPr>
        <w:spacing w:line="360" w:lineRule="auto"/>
        <w:ind w:firstLine="0"/>
        <w:jc w:val="center"/>
      </w:pPr>
      <w:r>
        <w:rPr>
          <w:rFonts w:ascii="Times New Roman" w:hAnsi="Times New Roman"/>
          <w:rFonts w:ascii="Times New Roman" w:hAnsi="Times New Roman"/>
          <w:b/>
          <w:i/>
          <w:sz w:val="24"/>
        </w:rPr>
        <w:t>[SECCIÓN POR INSERTAR — Marco teórico, modelos, métricas, SHAP, resultados]</w:t>
      </w:r>
    </w:p>
    <w:p>
      <w:r>
        <w:br w:type="page"/>
      </w:r>
    </w:p>
    <w:p>
      <w:pPr>
        <w:pStyle w:val="Heading1"/>
      </w:pPr>
      <w:r>
        <w:rPr>
          <w:rFonts w:ascii="Times New Roman" w:hAnsi="Times New Roman" w:cs="Times New Roman"/>
          <w:rFonts w:ascii="Times New Roman" w:hAnsi="Times New Roman"/>
          <w:color w:val="000000"/>
          <w:sz w:val="28"/>
        </w:rPr>
        <w:t>6. Análisis del Negocio</w:t>
      </w:r>
    </w:p>
    <w:p>
      <w:pPr>
        <w:spacing w:line="360" w:lineRule="auto"/>
        <w:ind w:firstLine="0"/>
        <w:jc w:val="center"/>
      </w:pPr>
      <w:r>
        <w:rPr>
          <w:rFonts w:ascii="Times New Roman" w:hAnsi="Times New Roman"/>
          <w:rFonts w:ascii="Times New Roman" w:hAnsi="Times New Roman"/>
          <w:b/>
          <w:i/>
          <w:sz w:val="24"/>
        </w:rPr>
        <w:t>[SECCIÓN POR INSERTAR]</w:t>
      </w:r>
    </w:p>
    <w:p>
      <w:r>
        <w:br w:type="page"/>
      </w:r>
    </w:p>
    <w:p>
      <w:pPr>
        <w:pStyle w:val="Heading1"/>
      </w:pPr>
      <w:r>
        <w:rPr>
          <w:rFonts w:ascii="Times New Roman" w:hAnsi="Times New Roman" w:cs="Times New Roman"/>
          <w:rFonts w:ascii="Times New Roman" w:hAnsi="Times New Roman"/>
          <w:color w:val="000000"/>
          <w:sz w:val="28"/>
        </w:rPr>
        <w:t>7. Conclusiones</w:t>
      </w:r>
    </w:p>
    <w:p>
      <w:pPr>
        <w:spacing w:line="360" w:lineRule="auto"/>
        <w:ind w:firstLine="0"/>
        <w:jc w:val="center"/>
      </w:pPr>
      <w:r>
        <w:rPr>
          <w:rFonts w:ascii="Times New Roman" w:hAnsi="Times New Roman"/>
          <w:rFonts w:ascii="Times New Roman" w:hAnsi="Times New Roman"/>
          <w:b/>
          <w:i/>
          <w:sz w:val="24"/>
        </w:rPr>
        <w:t>[SECCIÓN POR INSERTAR]</w:t>
      </w:r>
    </w:p>
    <w:p>
      <w:r>
        <w:br w:type="page"/>
      </w:r>
    </w:p>
    <w:p>
      <w:pPr>
        <w:pStyle w:val="Heading1"/>
      </w:pPr>
      <w:r>
        <w:rPr>
          <w:rFonts w:ascii="Times New Roman" w:hAnsi="Times New Roman" w:cs="Times New Roman"/>
          <w:rFonts w:ascii="Times New Roman" w:hAnsi="Times New Roman"/>
          <w:color w:val="000000"/>
          <w:sz w:val="28"/>
        </w:rPr>
        <w:t>Referencias Bibliográficas</w:t>
      </w:r>
    </w:p>
    <w:p>
      <w:pPr>
        <w:spacing w:after="120" w:line="360" w:lineRule="auto"/>
        <w:ind w:hanging="720" w:left="720"/>
      </w:pPr>
      <w:r>
        <w:rPr>
          <w:rFonts w:ascii="Times New Roman" w:hAnsi="Times New Roman"/>
          <w:rFonts w:ascii="Times New Roman" w:hAnsi="Times New Roman"/>
          <w:sz w:val="22"/>
        </w:rPr>
        <w:t>Baker, M., &amp; Wurgler, J. (2006). Investor sentiment and the cross-section of stock returns. The Journal of Finance, 61(4), 1645-1680. https://doi.org/10.1111/j.1540-6261.2006.00885.x</w:t>
      </w:r>
    </w:p>
    <w:p>
      <w:pPr>
        <w:spacing w:after="120" w:line="360" w:lineRule="auto"/>
        <w:ind w:hanging="720" w:left="720"/>
      </w:pPr>
      <w:r>
        <w:rPr>
          <w:rFonts w:ascii="Times New Roman" w:hAnsi="Times New Roman"/>
          <w:rFonts w:ascii="Times New Roman" w:hAnsi="Times New Roman"/>
          <w:sz w:val="22"/>
        </w:rPr>
        <w:t>Ban, G. Y., El Karoui, N., &amp; Lim, A. E. (2018). Machine learning and portfolio optimization. Management Science, 64(3), 1136-1154. https://doi.org/10.1287/mnsc.2016.2644</w:t>
      </w:r>
    </w:p>
    <w:p>
      <w:pPr>
        <w:spacing w:after="120" w:line="360" w:lineRule="auto"/>
        <w:ind w:hanging="720" w:left="720"/>
      </w:pPr>
      <w:r>
        <w:rPr>
          <w:rFonts w:ascii="Times New Roman" w:hAnsi="Times New Roman"/>
          <w:rFonts w:ascii="Times New Roman" w:hAnsi="Times New Roman"/>
          <w:sz w:val="22"/>
        </w:rPr>
        <w:t>Black, F., &amp; Litterman, R. (1992). Global portfolio optimization. Financial Analysts Journal, 48(5), 28-43. https://doi.org/10.2469/faj.v48.n5.28</w:t>
      </w:r>
    </w:p>
    <w:p>
      <w:pPr>
        <w:spacing w:after="120" w:line="360" w:lineRule="auto"/>
        <w:ind w:hanging="720" w:left="720"/>
      </w:pPr>
      <w:r>
        <w:rPr>
          <w:rFonts w:ascii="Times New Roman" w:hAnsi="Times New Roman"/>
          <w:rFonts w:ascii="Times New Roman" w:hAnsi="Times New Roman"/>
          <w:sz w:val="22"/>
        </w:rPr>
        <w:t>Chen, T., &amp; Guestrin, C. (2016). XGBoost: A scalable tree boosting system. Proceedings of the 22nd ACM SIGKDD International Conference on Knowledge Discovery and Data Mining, 785-794. https://doi.org/10.1145/2939672.2939785</w:t>
      </w:r>
    </w:p>
    <w:p>
      <w:pPr>
        <w:spacing w:after="120" w:line="360" w:lineRule="auto"/>
        <w:ind w:hanging="720" w:left="720"/>
      </w:pPr>
      <w:r>
        <w:rPr>
          <w:rFonts w:ascii="Times New Roman" w:hAnsi="Times New Roman"/>
          <w:rFonts w:ascii="Times New Roman" w:hAnsi="Times New Roman"/>
          <w:sz w:val="22"/>
        </w:rPr>
        <w:t>Da, Z., Engelberg, J., &amp; Gao, P. (2015). The sum of all FEARS investor sentiment and asset prices. The Review of Financial Studies, 28(1), 1-32. https://doi.org/10.1093/rfs/hhu072</w:t>
      </w:r>
    </w:p>
    <w:p>
      <w:pPr>
        <w:spacing w:after="120" w:line="360" w:lineRule="auto"/>
        <w:ind w:hanging="720" w:left="720"/>
      </w:pPr>
      <w:r>
        <w:rPr>
          <w:rFonts w:ascii="Times New Roman" w:hAnsi="Times New Roman"/>
          <w:rFonts w:ascii="Times New Roman" w:hAnsi="Times New Roman"/>
          <w:sz w:val="22"/>
        </w:rPr>
        <w:t>de Prado, M. L. (2018). Advances in Financial Machine Learning. John Wiley &amp; Sons.</w:t>
      </w:r>
    </w:p>
    <w:p>
      <w:pPr>
        <w:spacing w:after="120" w:line="360" w:lineRule="auto"/>
        <w:ind w:hanging="720" w:left="720"/>
      </w:pPr>
      <w:r>
        <w:rPr>
          <w:rFonts w:ascii="Times New Roman" w:hAnsi="Times New Roman"/>
          <w:rFonts w:ascii="Times New Roman" w:hAnsi="Times New Roman"/>
          <w:sz w:val="22"/>
        </w:rPr>
        <w:t>DeMiguel, V., Garlappi, L., &amp; Uppal, R. (2009). Optimal versus naive diversification: How inefficient is the 1/N portfolio strategy? The Review of Financial Studies, 22(5), 1915-1953. https://doi.org/10.1093/rfs/hhm075</w:t>
      </w:r>
    </w:p>
    <w:p>
      <w:pPr>
        <w:spacing w:after="120" w:line="360" w:lineRule="auto"/>
        <w:ind w:hanging="720" w:left="720"/>
      </w:pPr>
      <w:r>
        <w:rPr>
          <w:rFonts w:ascii="Times New Roman" w:hAnsi="Times New Roman"/>
          <w:rFonts w:ascii="Times New Roman" w:hAnsi="Times New Roman"/>
          <w:sz w:val="22"/>
        </w:rPr>
        <w:t>Fischer, T., &amp; Krauss, C. (2018). Deep learning with long short-term memory networks for financial market predictions. European Journal of Operational Research, 270(2), 654-669. https://doi.org/10.1016/j.ejor.2017.11.054</w:t>
      </w:r>
    </w:p>
    <w:p>
      <w:pPr>
        <w:spacing w:after="120" w:line="360" w:lineRule="auto"/>
        <w:ind w:hanging="720" w:left="720"/>
      </w:pPr>
      <w:r>
        <w:rPr>
          <w:rFonts w:ascii="Times New Roman" w:hAnsi="Times New Roman"/>
          <w:rFonts w:ascii="Times New Roman" w:hAnsi="Times New Roman"/>
          <w:sz w:val="22"/>
        </w:rPr>
        <w:t>Friedman, J. H. (2001). Greedy function approximation: A gradient boosting machine. The Annals of Statistics, 29(5), 1189-1232. https://doi.org/10.1214/aos/1013203451</w:t>
      </w:r>
    </w:p>
    <w:p>
      <w:pPr>
        <w:spacing w:after="120" w:line="360" w:lineRule="auto"/>
        <w:ind w:hanging="720" w:left="720"/>
      </w:pPr>
      <w:r>
        <w:rPr>
          <w:rFonts w:ascii="Times New Roman" w:hAnsi="Times New Roman"/>
          <w:rFonts w:ascii="Times New Roman" w:hAnsi="Times New Roman"/>
          <w:sz w:val="22"/>
        </w:rPr>
        <w:t>Gu, S., Kelly, B., &amp; Xiu, D. (2020). Empirical asset pricing via machine learning. The Review of Financial Studies, 33(5), 2223-2273. https://doi.org/10.1093/rfs/hhaa009</w:t>
      </w:r>
    </w:p>
    <w:p>
      <w:pPr>
        <w:spacing w:after="120" w:line="360" w:lineRule="auto"/>
        <w:ind w:hanging="720" w:left="720"/>
      </w:pPr>
      <w:r>
        <w:rPr>
          <w:rFonts w:ascii="Times New Roman" w:hAnsi="Times New Roman"/>
          <w:rFonts w:ascii="Times New Roman" w:hAnsi="Times New Roman"/>
          <w:sz w:val="22"/>
        </w:rPr>
        <w:t>Ke, G., Meng, Q., Finley, T., Wang, T., Chen, W., Ma, W., Ye, Q., &amp; Liu, T. Y. (2017). LightGBM: A highly efficient gradient boosting decision tree. Advances in Neural Information Processing Systems, 30, 3146-3154.</w:t>
      </w:r>
    </w:p>
    <w:p>
      <w:pPr>
        <w:spacing w:after="120" w:line="360" w:lineRule="auto"/>
        <w:ind w:hanging="720" w:left="720"/>
      </w:pPr>
      <w:r>
        <w:rPr>
          <w:rFonts w:ascii="Times New Roman" w:hAnsi="Times New Roman"/>
          <w:rFonts w:ascii="Times New Roman" w:hAnsi="Times New Roman"/>
          <w:sz w:val="22"/>
        </w:rPr>
        <w:t>Leippold, M., Wang, Q., &amp; Zhou, W. (2022). Machine learning in the Chinese stock market. Journal of Financial Economics, 145(2), 64-82. https://doi.org/10.1016/j.jfineco.2021.08.017</w:t>
      </w:r>
    </w:p>
    <w:p>
      <w:pPr>
        <w:spacing w:after="120" w:line="360" w:lineRule="auto"/>
        <w:ind w:hanging="720" w:left="720"/>
      </w:pPr>
      <w:r>
        <w:rPr>
          <w:rFonts w:ascii="Times New Roman" w:hAnsi="Times New Roman"/>
          <w:rFonts w:ascii="Times New Roman" w:hAnsi="Times New Roman"/>
          <w:sz w:val="22"/>
        </w:rPr>
        <w:t>Lundberg, S. M., &amp; Lee, S. I. (2017). A unified approach to interpreting model predictions. Advances in Neural Information Processing Systems, 30, 4765-4774.</w:t>
      </w:r>
    </w:p>
    <w:p>
      <w:pPr>
        <w:spacing w:after="120" w:line="360" w:lineRule="auto"/>
        <w:ind w:hanging="720" w:left="720"/>
      </w:pPr>
      <w:r>
        <w:rPr>
          <w:rFonts w:ascii="Times New Roman" w:hAnsi="Times New Roman"/>
          <w:rFonts w:ascii="Times New Roman" w:hAnsi="Times New Roman"/>
          <w:sz w:val="22"/>
        </w:rPr>
        <w:t>Lundberg, S. M., Erion, G., Chen, H., DeGrave, A., Prutkin, J. M., Nair, B., Katz, R., Himmelfarb, J., Bansal, N., &amp; Lee, S. I. (2020). From local explanations to global understanding with explainable AI for trees. Nature Machine Intelligence, 2(1), 56-67. https://doi.org/10.1038/s42256-019-0138-9</w:t>
      </w:r>
    </w:p>
    <w:p>
      <w:pPr>
        <w:spacing w:after="120" w:line="360" w:lineRule="auto"/>
        <w:ind w:hanging="720" w:left="720"/>
      </w:pPr>
      <w:r>
        <w:rPr>
          <w:rFonts w:ascii="Times New Roman" w:hAnsi="Times New Roman"/>
          <w:rFonts w:ascii="Times New Roman" w:hAnsi="Times New Roman"/>
          <w:sz w:val="22"/>
        </w:rPr>
        <w:t>Markowitz, H. (1952). Portfolio selection. The Journal of Finance, 7(1), 77-91. https://doi.org/10.2307/2975974</w:t>
      </w:r>
    </w:p>
    <w:p>
      <w:pPr>
        <w:spacing w:after="120" w:line="360" w:lineRule="auto"/>
        <w:ind w:hanging="720" w:left="720"/>
      </w:pPr>
      <w:r>
        <w:rPr>
          <w:rFonts w:ascii="Times New Roman" w:hAnsi="Times New Roman"/>
          <w:rFonts w:ascii="Times New Roman" w:hAnsi="Times New Roman"/>
          <w:sz w:val="22"/>
        </w:rPr>
        <w:t>Sharpe, W. F. (1964). Capital asset prices: A theory of market equilibrium under conditions of risk. The Journal of Finance, 19(3), 425-442. https://doi.org/10.2307/2977928</w:t>
      </w:r>
    </w:p>
    <w:p>
      <w:pPr>
        <w:spacing w:after="120" w:line="360" w:lineRule="auto"/>
        <w:ind w:hanging="720" w:left="720"/>
      </w:pPr>
      <w:r>
        <w:rPr>
          <w:rFonts w:ascii="Times New Roman" w:hAnsi="Times New Roman"/>
          <w:rFonts w:ascii="Times New Roman" w:hAnsi="Times New Roman"/>
          <w:sz w:val="22"/>
        </w:rPr>
        <w:t>Tashman, L. J. (2000). Out-of-sample tests of forecasting accuracy: An analysis and review. International Journal of Forecasting, 16(4), 437-450. https://doi.org/10.1016/S0169-2070(00)00065-0</w:t>
      </w:r>
    </w:p>
    <w:p>
      <w:pPr>
        <w:spacing w:after="120" w:line="360" w:lineRule="auto"/>
        <w:ind w:hanging="720" w:left="720"/>
      </w:pPr>
      <w:r>
        <w:rPr>
          <w:rFonts w:ascii="Times New Roman" w:hAnsi="Times New Roman"/>
          <w:rFonts w:ascii="Times New Roman" w:hAnsi="Times New Roman"/>
          <w:sz w:val="22"/>
        </w:rPr>
        <w:t>Yan, J. (2025). Portfolio risk management with gradient boosting: A comparative study of LightGBM and XGBoost. Journal of Risk and Financial Management, 18(2), 85.</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60" w:lineRule="auto"/>
      <w:ind w:firstLine="567"/>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